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B0D35" w:rsidRPr="003B0D35" w:rsidRDefault="003B0D35" w:rsidP="00C35D53">
      <w:pPr>
        <w:pStyle w:val="MRFAuthors"/>
        <w:rPr>
          <w:sz w:val="28"/>
        </w:rPr>
      </w:pPr>
      <w:r w:rsidRPr="003B0D35">
        <w:rPr>
          <w:b/>
          <w:sz w:val="28"/>
        </w:rPr>
        <w:t>Experience in HIP diffusion welding of dissimilar metals and alloys</w:t>
      </w:r>
    </w:p>
    <w:p w:rsidR="00591AB1" w:rsidRPr="00591AB1" w:rsidRDefault="00591AB1" w:rsidP="00591AB1">
      <w:pPr>
        <w:spacing w:before="120"/>
        <w:jc w:val="center"/>
        <w:rPr>
          <w:rFonts w:ascii="Arial" w:hAnsi="Arial" w:cs="Arial"/>
          <w:color w:val="000000"/>
          <w:sz w:val="26"/>
          <w:szCs w:val="26"/>
          <w:lang w:val="en-US" w:eastAsia="ru-RU"/>
        </w:rPr>
      </w:pPr>
      <w:r w:rsidRPr="00591AB1">
        <w:rPr>
          <w:rFonts w:ascii="Arial" w:hAnsi="Arial" w:cs="Arial"/>
          <w:color w:val="000000"/>
          <w:sz w:val="26"/>
          <w:szCs w:val="26"/>
          <w:u w:val="single"/>
          <w:lang w:val="en-US" w:eastAsia="ru-RU"/>
        </w:rPr>
        <w:t>V.N. Butrim</w:t>
      </w:r>
      <w:proofErr w:type="gramStart"/>
      <w:r w:rsidRPr="00591AB1">
        <w:rPr>
          <w:rFonts w:ascii="Arial" w:hAnsi="Arial" w:cs="Arial"/>
          <w:color w:val="000000"/>
          <w:sz w:val="26"/>
          <w:szCs w:val="26"/>
          <w:u w:val="single"/>
          <w:vertAlign w:val="superscript"/>
          <w:lang w:val="en-US" w:eastAsia="ru-RU"/>
        </w:rPr>
        <w:t>1</w:t>
      </w:r>
      <w:r>
        <w:rPr>
          <w:rFonts w:ascii="Arial" w:hAnsi="Arial" w:cs="Arial"/>
          <w:color w:val="000000"/>
          <w:sz w:val="26"/>
          <w:szCs w:val="26"/>
          <w:lang w:val="en-US" w:eastAsia="ru-RU"/>
        </w:rPr>
        <w:t>,</w:t>
      </w:r>
      <w:r w:rsidRPr="00591AB1">
        <w:rPr>
          <w:rFonts w:ascii="Arial" w:hAnsi="Arial" w:cs="Arial"/>
          <w:color w:val="000000"/>
          <w:sz w:val="26"/>
          <w:szCs w:val="26"/>
          <w:vertAlign w:val="superscript"/>
          <w:lang w:val="en-US" w:eastAsia="ru-RU"/>
        </w:rPr>
        <w:t>a</w:t>
      </w:r>
      <w:proofErr w:type="gramEnd"/>
      <w:r w:rsidRPr="00591AB1">
        <w:rPr>
          <w:rFonts w:ascii="Arial" w:hAnsi="Arial" w:cs="Arial"/>
          <w:color w:val="000000"/>
          <w:sz w:val="26"/>
          <w:szCs w:val="26"/>
          <w:vertAlign w:val="superscript"/>
          <w:lang w:val="en-US" w:eastAsia="ru-RU"/>
        </w:rPr>
        <w:t xml:space="preserve"> *</w:t>
      </w:r>
      <w:r w:rsidRPr="00591AB1">
        <w:rPr>
          <w:rFonts w:ascii="Arial" w:hAnsi="Arial" w:cs="Arial"/>
          <w:color w:val="000000"/>
          <w:sz w:val="26"/>
          <w:szCs w:val="26"/>
          <w:lang w:val="en-US" w:eastAsia="ru-RU"/>
        </w:rPr>
        <w:t xml:space="preserve">, A.G. </w:t>
      </w:r>
      <w:proofErr w:type="spellStart"/>
      <w:r w:rsidRPr="00591AB1">
        <w:rPr>
          <w:rFonts w:ascii="Arial" w:hAnsi="Arial" w:cs="Arial"/>
          <w:color w:val="000000"/>
          <w:sz w:val="26"/>
          <w:szCs w:val="26"/>
          <w:lang w:val="en-US" w:eastAsia="ru-RU"/>
        </w:rPr>
        <w:t>Beresnev</w:t>
      </w:r>
      <w:proofErr w:type="spellEnd"/>
      <w:r>
        <w:rPr>
          <w:rFonts w:ascii="Arial" w:hAnsi="Arial" w:cs="Arial"/>
          <w:color w:val="000000"/>
          <w:sz w:val="26"/>
          <w:szCs w:val="26"/>
          <w:lang w:val="en-US" w:eastAsia="ru-RU"/>
        </w:rPr>
        <w:t xml:space="preserve"> </w:t>
      </w:r>
      <w:r w:rsidRPr="00591AB1">
        <w:rPr>
          <w:rFonts w:ascii="Arial" w:hAnsi="Arial" w:cs="Arial"/>
          <w:color w:val="000000"/>
          <w:sz w:val="26"/>
          <w:szCs w:val="26"/>
          <w:vertAlign w:val="superscript"/>
          <w:lang w:val="en-US" w:eastAsia="ru-RU"/>
        </w:rPr>
        <w:t>1 a</w:t>
      </w:r>
      <w:r w:rsidRPr="00591AB1">
        <w:rPr>
          <w:rFonts w:ascii="Arial" w:hAnsi="Arial" w:cs="Arial"/>
          <w:color w:val="000000"/>
          <w:sz w:val="26"/>
          <w:szCs w:val="26"/>
          <w:lang w:val="en-US" w:eastAsia="ru-RU"/>
        </w:rPr>
        <w:t>, V.N. Denisov</w:t>
      </w:r>
      <w:r w:rsidRPr="00591AB1">
        <w:rPr>
          <w:rFonts w:ascii="Arial" w:hAnsi="Arial" w:cs="Arial"/>
          <w:color w:val="000000"/>
          <w:sz w:val="26"/>
          <w:szCs w:val="26"/>
          <w:vertAlign w:val="superscript"/>
          <w:lang w:val="en-US" w:eastAsia="ru-RU"/>
        </w:rPr>
        <w:t>1 a</w:t>
      </w:r>
      <w:r w:rsidRPr="00591AB1">
        <w:rPr>
          <w:rFonts w:ascii="Arial" w:hAnsi="Arial" w:cs="Arial"/>
          <w:color w:val="000000"/>
          <w:sz w:val="26"/>
          <w:szCs w:val="26"/>
          <w:lang w:val="en-US" w:eastAsia="ru-RU"/>
        </w:rPr>
        <w:t>, A.S. Klyatskin</w:t>
      </w:r>
      <w:r w:rsidRPr="00591AB1">
        <w:rPr>
          <w:rFonts w:ascii="Arial" w:hAnsi="Arial" w:cs="Arial"/>
          <w:color w:val="000000"/>
          <w:sz w:val="26"/>
          <w:szCs w:val="26"/>
          <w:vertAlign w:val="superscript"/>
          <w:lang w:val="en-US" w:eastAsia="ru-RU"/>
        </w:rPr>
        <w:t>1 a</w:t>
      </w:r>
      <w:r w:rsidRPr="00591AB1">
        <w:rPr>
          <w:rFonts w:ascii="Arial" w:hAnsi="Arial" w:cs="Arial"/>
          <w:color w:val="000000"/>
          <w:sz w:val="26"/>
          <w:szCs w:val="26"/>
          <w:lang w:val="en-US" w:eastAsia="ru-RU"/>
        </w:rPr>
        <w:t>, D.A. Medvedev</w:t>
      </w:r>
      <w:r w:rsidRPr="00591AB1">
        <w:rPr>
          <w:rFonts w:ascii="Arial" w:hAnsi="Arial" w:cs="Arial"/>
          <w:color w:val="000000"/>
          <w:sz w:val="26"/>
          <w:szCs w:val="26"/>
          <w:vertAlign w:val="superscript"/>
          <w:lang w:val="en-US" w:eastAsia="ru-RU"/>
        </w:rPr>
        <w:t>1 a</w:t>
      </w:r>
      <w:r w:rsidRPr="00591AB1">
        <w:rPr>
          <w:rFonts w:ascii="Arial" w:hAnsi="Arial" w:cs="Arial"/>
          <w:color w:val="000000"/>
          <w:sz w:val="26"/>
          <w:szCs w:val="26"/>
          <w:lang w:val="en-US" w:eastAsia="ru-RU"/>
        </w:rPr>
        <w:t xml:space="preserve"> and D.N. Makhina</w:t>
      </w:r>
      <w:r w:rsidRPr="00591AB1">
        <w:rPr>
          <w:rFonts w:ascii="Arial" w:hAnsi="Arial" w:cs="Arial"/>
          <w:color w:val="000000"/>
          <w:sz w:val="26"/>
          <w:szCs w:val="26"/>
          <w:vertAlign w:val="superscript"/>
          <w:lang w:val="en-US" w:eastAsia="ru-RU"/>
        </w:rPr>
        <w:t>1 a</w:t>
      </w:r>
    </w:p>
    <w:p w:rsidR="00591AB1" w:rsidRDefault="00C35D53" w:rsidP="00591AB1">
      <w:pPr>
        <w:spacing w:before="120"/>
        <w:jc w:val="center"/>
        <w:rPr>
          <w:rFonts w:ascii="Arial" w:hAnsi="Arial" w:cs="Arial"/>
          <w:color w:val="000000"/>
          <w:sz w:val="22"/>
          <w:szCs w:val="22"/>
          <w:lang w:val="en-US" w:eastAsia="ru-RU"/>
        </w:rPr>
      </w:pPr>
      <w:r w:rsidRPr="00591AB1">
        <w:rPr>
          <w:rFonts w:ascii="Arial" w:hAnsi="Arial" w:cs="Arial"/>
          <w:sz w:val="22"/>
          <w:szCs w:val="22"/>
          <w:vertAlign w:val="superscript"/>
        </w:rPr>
        <w:t>1</w:t>
      </w:r>
      <w:r w:rsidR="00591AB1" w:rsidRPr="00591AB1">
        <w:rPr>
          <w:rFonts w:ascii="Arial" w:hAnsi="Arial" w:cs="Arial"/>
          <w:color w:val="000000"/>
          <w:sz w:val="22"/>
          <w:szCs w:val="22"/>
          <w:lang w:val="en-US" w:eastAsia="ru-RU"/>
        </w:rPr>
        <w:t xml:space="preserve"> Joint-Stock Company “</w:t>
      </w:r>
      <w:proofErr w:type="spellStart"/>
      <w:r w:rsidR="00591AB1" w:rsidRPr="00591AB1">
        <w:rPr>
          <w:rFonts w:ascii="Arial" w:hAnsi="Arial" w:cs="Arial"/>
          <w:color w:val="000000"/>
          <w:sz w:val="22"/>
          <w:szCs w:val="22"/>
          <w:lang w:val="en-US" w:eastAsia="ru-RU"/>
        </w:rPr>
        <w:t>Kompozit</w:t>
      </w:r>
      <w:proofErr w:type="spellEnd"/>
      <w:r w:rsidR="00591AB1" w:rsidRPr="00591AB1">
        <w:rPr>
          <w:rFonts w:ascii="Arial" w:hAnsi="Arial" w:cs="Arial"/>
          <w:color w:val="000000"/>
          <w:sz w:val="22"/>
          <w:szCs w:val="22"/>
          <w:lang w:val="en-US" w:eastAsia="ru-RU"/>
        </w:rPr>
        <w:t xml:space="preserve">”, 4 </w:t>
      </w:r>
      <w:proofErr w:type="spellStart"/>
      <w:r w:rsidR="00591AB1" w:rsidRPr="00591AB1">
        <w:rPr>
          <w:rFonts w:ascii="Arial" w:hAnsi="Arial" w:cs="Arial"/>
          <w:color w:val="000000"/>
          <w:sz w:val="22"/>
          <w:szCs w:val="22"/>
          <w:lang w:val="en-US" w:eastAsia="ru-RU"/>
        </w:rPr>
        <w:t>Pionerskaya</w:t>
      </w:r>
      <w:proofErr w:type="spellEnd"/>
      <w:r w:rsidR="00591AB1" w:rsidRPr="00591AB1">
        <w:rPr>
          <w:rFonts w:ascii="Arial" w:hAnsi="Arial" w:cs="Arial"/>
          <w:color w:val="000000"/>
          <w:sz w:val="22"/>
          <w:szCs w:val="22"/>
          <w:lang w:val="en-US" w:eastAsia="ru-RU"/>
        </w:rPr>
        <w:t xml:space="preserve"> Str., </w:t>
      </w:r>
      <w:proofErr w:type="spellStart"/>
      <w:r w:rsidR="00591AB1" w:rsidRPr="00591AB1">
        <w:rPr>
          <w:rFonts w:ascii="Arial" w:hAnsi="Arial" w:cs="Arial"/>
          <w:color w:val="000000"/>
          <w:sz w:val="22"/>
          <w:szCs w:val="22"/>
          <w:lang w:val="en-US" w:eastAsia="ru-RU"/>
        </w:rPr>
        <w:t>Korolev</w:t>
      </w:r>
      <w:proofErr w:type="spellEnd"/>
      <w:r w:rsidR="00591AB1" w:rsidRPr="00591AB1">
        <w:rPr>
          <w:rFonts w:ascii="Arial" w:hAnsi="Arial" w:cs="Arial"/>
          <w:color w:val="000000"/>
          <w:sz w:val="22"/>
          <w:szCs w:val="22"/>
          <w:lang w:val="en-US" w:eastAsia="ru-RU"/>
        </w:rPr>
        <w:t xml:space="preserve"> 141070,</w:t>
      </w:r>
    </w:p>
    <w:p w:rsidR="00591AB1" w:rsidRPr="00591AB1" w:rsidRDefault="00591AB1" w:rsidP="00591AB1">
      <w:pPr>
        <w:spacing w:before="120"/>
        <w:jc w:val="center"/>
        <w:rPr>
          <w:rFonts w:ascii="Arial" w:hAnsi="Arial" w:cs="Arial"/>
          <w:color w:val="000000"/>
          <w:sz w:val="22"/>
          <w:szCs w:val="22"/>
          <w:lang w:val="en-US" w:eastAsia="ru-RU"/>
        </w:rPr>
      </w:pPr>
      <w:r w:rsidRPr="00591AB1">
        <w:rPr>
          <w:rFonts w:ascii="Arial" w:hAnsi="Arial" w:cs="Arial"/>
          <w:color w:val="000000"/>
          <w:sz w:val="22"/>
          <w:szCs w:val="22"/>
          <w:lang w:val="en-US" w:eastAsia="ru-RU"/>
        </w:rPr>
        <w:t>Moscow Region, Russia</w:t>
      </w:r>
    </w:p>
    <w:p w:rsidR="00C35D53" w:rsidRDefault="00C35D53" w:rsidP="00C35D53">
      <w:pPr>
        <w:pStyle w:val="MRFAddress"/>
        <w:rPr>
          <w:color w:val="2862C5"/>
          <w:u w:val="single"/>
          <w:lang w:val="de-AT" w:eastAsia="ru-RU"/>
        </w:rPr>
      </w:pPr>
      <w:r w:rsidRPr="00DD4E1D">
        <w:rPr>
          <w:vertAlign w:val="superscript"/>
        </w:rPr>
        <w:t>a</w:t>
      </w:r>
      <w:r w:rsidRPr="00591AB1">
        <w:t xml:space="preserve"> </w:t>
      </w:r>
      <w:hyperlink r:id="rId7" w:tgtFrame="_blank" w:history="1">
        <w:r w:rsidR="00591AB1" w:rsidRPr="00591AB1">
          <w:rPr>
            <w:color w:val="2862C5"/>
            <w:u w:val="single"/>
            <w:lang w:val="de-AT" w:eastAsia="ru-RU"/>
          </w:rPr>
          <w:t>info@kompozit-mv.ru</w:t>
        </w:r>
      </w:hyperlink>
    </w:p>
    <w:p w:rsidR="00232996" w:rsidRPr="00232996" w:rsidRDefault="00C35D53" w:rsidP="00232996">
      <w:pPr>
        <w:adjustRightInd w:val="0"/>
        <w:spacing w:before="360"/>
        <w:ind w:firstLine="709"/>
        <w:jc w:val="both"/>
        <w:rPr>
          <w:rFonts w:ascii="Arial" w:hAnsi="Arial" w:cs="Arial"/>
          <w:sz w:val="24"/>
          <w:szCs w:val="24"/>
          <w:lang w:val="en-US"/>
        </w:rPr>
      </w:pPr>
      <w:r w:rsidRPr="00232996">
        <w:rPr>
          <w:rFonts w:ascii="Arial" w:hAnsi="Arial" w:cs="Arial"/>
          <w:b/>
          <w:sz w:val="24"/>
          <w:szCs w:val="24"/>
        </w:rPr>
        <w:t>Keywords:</w:t>
      </w:r>
      <w:r w:rsidRPr="00232996">
        <w:rPr>
          <w:rFonts w:ascii="Arial" w:hAnsi="Arial" w:cs="Arial"/>
          <w:sz w:val="24"/>
          <w:szCs w:val="24"/>
        </w:rPr>
        <w:t xml:space="preserve"> </w:t>
      </w:r>
      <w:r w:rsidR="00232996" w:rsidRPr="00232996">
        <w:rPr>
          <w:rFonts w:ascii="Arial" w:hAnsi="Arial" w:cs="Arial"/>
          <w:sz w:val="24"/>
          <w:szCs w:val="24"/>
          <w:lang w:val="en-US"/>
        </w:rPr>
        <w:t>Welding, hot isostatic pressing, diffusion bonding, dissimilar metals.</w:t>
      </w:r>
    </w:p>
    <w:p w:rsidR="00C35D53" w:rsidRPr="00DD4E1D" w:rsidRDefault="00C35D53" w:rsidP="00C35D53">
      <w:pPr>
        <w:pStyle w:val="MRFAbstract"/>
      </w:pPr>
      <w:r w:rsidRPr="00C35D53">
        <w:rPr>
          <w:b/>
        </w:rPr>
        <w:t>Abstract.</w:t>
      </w:r>
      <w:r w:rsidR="00232996">
        <w:t xml:space="preserve"> </w:t>
      </w:r>
      <w:r w:rsidR="00232996" w:rsidRPr="00232996">
        <w:t xml:space="preserve">HIP solid-state diffusion welding is a controlled production operation at all the processing stages. Unlike other known solid-state welding techniques the HIP allows to provide strong and dense bonding with stability properties irrespective of the sizes and a configuration of the contact surfaces of materials welded. </w:t>
      </w:r>
      <w:r w:rsidR="00232996" w:rsidRPr="00232996">
        <w:rPr>
          <w:iCs/>
          <w:color w:val="000000"/>
          <w:lang w:eastAsia="ru-RU"/>
        </w:rPr>
        <w:t>Here we present some special</w:t>
      </w:r>
      <w:r w:rsidR="00232996" w:rsidRPr="00232996">
        <w:t xml:space="preserve"> pilot examples of HIP diffusion welding of dissimilar metals and alloys: steel XM19-to-steel 316L, bronze Cu-Cr-</w:t>
      </w:r>
      <w:proofErr w:type="spellStart"/>
      <w:r w:rsidR="00232996" w:rsidRPr="00232996">
        <w:t>Zr</w:t>
      </w:r>
      <w:proofErr w:type="spellEnd"/>
      <w:r w:rsidR="00232996" w:rsidRPr="00232996">
        <w:t>–to-steel 316L, copper M1–to-steel Fe-18Cr-10Ni-Ti-C, titanium alloy Ti-6Al-4V–to-steel Fe-18Cr-10Ni-Ti-C, single-crystal molybdenum-to-</w:t>
      </w:r>
      <w:proofErr w:type="spellStart"/>
      <w:r w:rsidR="00232996" w:rsidRPr="00232996">
        <w:t>polycrystal</w:t>
      </w:r>
      <w:proofErr w:type="spellEnd"/>
      <w:r w:rsidR="00232996" w:rsidRPr="00232996">
        <w:t xml:space="preserve"> molybdenum and titanium alloy-to- aluminum alloy.</w:t>
      </w:r>
    </w:p>
    <w:p w:rsidR="00C35D53" w:rsidRDefault="00C35D53" w:rsidP="00C35D53">
      <w:pPr>
        <w:pStyle w:val="MRFSectionHeading"/>
      </w:pPr>
      <w:r w:rsidRPr="00DD4E1D">
        <w:t>Introduction</w:t>
      </w:r>
    </w:p>
    <w:p w:rsidR="00232996" w:rsidRPr="00232996" w:rsidRDefault="00232996" w:rsidP="00232996">
      <w:pPr>
        <w:adjustRightInd w:val="0"/>
        <w:jc w:val="both"/>
        <w:rPr>
          <w:sz w:val="24"/>
          <w:szCs w:val="24"/>
          <w:lang w:val="en-US"/>
        </w:rPr>
      </w:pPr>
      <w:r w:rsidRPr="00232996">
        <w:rPr>
          <w:sz w:val="24"/>
          <w:szCs w:val="24"/>
          <w:lang w:val="en-US"/>
        </w:rPr>
        <w:t>Solid-state diffusion welding (DW) is a main way to make a bimetallic structural material for space and nuclear application where a strong and dense bonding of materials with different chemical compositions is needed. This technology produces a monolithic joint resulting from a maximum closing of the contact surfaces due to their local plastic deformation at the increased temperature as well as the formation of metallic bond at the atomic level followed by a mutual diffusion of the components through the surface layers of the materials bonded [1]. Solid-state diffusion welding includes the following obligatory stages: the oxide film removal from contact surfaces, the actual contact formation, the surfaces activation, the chemical bond formation and diffusion. This sequence is true for all known methods of solid-state welding: cold bonding, explosion welding, percussion vacuum welding, friction welding, vacuum roll welding, induction and ultrasonic welding, etc. However, only the diffusion welding is the most universal and reliable method that allows controlling all four key technological parameters of process: temperature, pressure, dwell time and diffusion medium. The method of diffusion welding with use of hot isostatic pressing (HIP) can be considered as a kind of classical DW wherein technological parameters to be controlled within a wider range. Below we are examined the influence of the HIP diffusion bonding technological parameters on a bonded joint quality.</w:t>
      </w:r>
    </w:p>
    <w:p w:rsidR="00232996" w:rsidRPr="00232996" w:rsidRDefault="00232996" w:rsidP="00232996">
      <w:pPr>
        <w:pStyle w:val="MRFParagraph1st"/>
      </w:pPr>
    </w:p>
    <w:p w:rsidR="005E794F" w:rsidRPr="005E794F" w:rsidRDefault="005E794F" w:rsidP="005E794F">
      <w:pPr>
        <w:adjustRightInd w:val="0"/>
        <w:rPr>
          <w:b/>
          <w:sz w:val="24"/>
          <w:szCs w:val="24"/>
          <w:lang w:val="en-US"/>
        </w:rPr>
      </w:pPr>
      <w:r w:rsidRPr="005E794F">
        <w:rPr>
          <w:b/>
          <w:sz w:val="24"/>
          <w:szCs w:val="24"/>
          <w:lang w:val="en-US"/>
        </w:rPr>
        <w:t>Temperature and pressure</w:t>
      </w:r>
    </w:p>
    <w:p w:rsidR="005E794F" w:rsidRDefault="005E794F" w:rsidP="005E794F">
      <w:pPr>
        <w:adjustRightInd w:val="0"/>
        <w:ind w:firstLine="284"/>
        <w:jc w:val="both"/>
        <w:rPr>
          <w:sz w:val="24"/>
          <w:szCs w:val="24"/>
          <w:lang w:val="en-US"/>
        </w:rPr>
      </w:pPr>
      <w:r w:rsidRPr="005E794F">
        <w:rPr>
          <w:sz w:val="24"/>
          <w:szCs w:val="24"/>
          <w:lang w:val="en-US"/>
        </w:rPr>
        <w:t xml:space="preserve">Temperature and pressure are mutually dependent parameters in HIP technology. Specified pressure value in a HIP installation </w:t>
      </w:r>
      <w:r w:rsidRPr="005E794F">
        <w:rPr>
          <w:sz w:val="24"/>
          <w:szCs w:val="24"/>
          <w:shd w:val="clear" w:color="auto" w:fill="FFFFFF" w:themeFill="background1"/>
          <w:lang w:val="en-US"/>
        </w:rPr>
        <w:t xml:space="preserve">chamber </w:t>
      </w:r>
      <w:r w:rsidRPr="005E794F">
        <w:rPr>
          <w:sz w:val="24"/>
          <w:szCs w:val="24"/>
          <w:lang w:val="en-US"/>
        </w:rPr>
        <w:t xml:space="preserve">is achieved by thermal expansion of working gas as the temperature increases. Thus, with computation of the necessary amount of gas at the room temperature performed, it is possible to reach the HIP operation conditions both in the temperature of 200°C to 1200°C and pressure of 20 MPa to 200 MPa ranges under any parameter combination. As the pressure is created by gas, the pressure value will be the same in any point of the HIP product contact surfaces despite the sizes and configurations of the parts bonded. As is well known </w:t>
      </w:r>
      <w:r w:rsidRPr="005E794F">
        <w:rPr>
          <w:sz w:val="24"/>
          <w:szCs w:val="24"/>
          <w:lang w:val="en-US"/>
        </w:rPr>
        <w:lastRenderedPageBreak/>
        <w:t xml:space="preserve">[2], if all-round compression pressure is applied to a crystal the concentration of vacancies in this case will then be equal to </w:t>
      </w:r>
    </w:p>
    <w:p w:rsidR="005E794F" w:rsidRDefault="005E794F" w:rsidP="005E794F">
      <w:pPr>
        <w:adjustRightInd w:val="0"/>
        <w:ind w:firstLine="284"/>
        <w:jc w:val="both"/>
        <w:rPr>
          <w:sz w:val="24"/>
          <w:szCs w:val="24"/>
          <w:lang w:val="en-US"/>
        </w:rPr>
      </w:pPr>
    </w:p>
    <w:p w:rsidR="005E794F" w:rsidRPr="005E794F" w:rsidRDefault="005E794F" w:rsidP="005E794F">
      <w:pPr>
        <w:adjustRightInd w:val="0"/>
        <w:ind w:firstLine="284"/>
        <w:jc w:val="both"/>
        <w:rPr>
          <w:color w:val="000000"/>
          <w:sz w:val="24"/>
          <w:szCs w:val="24"/>
          <w:lang w:val="ru-RU" w:eastAsia="ru-RU" w:bidi="ru-RU"/>
        </w:rPr>
      </w:pPr>
      <w:proofErr w:type="spellStart"/>
      <w:r w:rsidRPr="005E794F">
        <w:rPr>
          <w:i/>
          <w:color w:val="000000"/>
          <w:sz w:val="24"/>
          <w:szCs w:val="24"/>
          <w:lang w:eastAsia="ru-RU" w:bidi="ru-RU"/>
        </w:rPr>
        <w:t>Ср</w:t>
      </w:r>
      <w:proofErr w:type="spellEnd"/>
      <w:r w:rsidRPr="005E794F">
        <w:rPr>
          <w:i/>
          <w:color w:val="000000"/>
          <w:sz w:val="24"/>
          <w:szCs w:val="24"/>
          <w:lang w:val="ru-RU" w:eastAsia="ru-RU" w:bidi="ru-RU"/>
        </w:rPr>
        <w:t xml:space="preserve"> =</w:t>
      </w:r>
      <w:proofErr w:type="spellStart"/>
      <w:r w:rsidRPr="005E794F">
        <w:rPr>
          <w:i/>
          <w:color w:val="000000"/>
          <w:sz w:val="24"/>
          <w:szCs w:val="24"/>
          <w:lang w:eastAsia="ru-RU" w:bidi="ru-RU"/>
        </w:rPr>
        <w:t>Со</w:t>
      </w:r>
      <w:proofErr w:type="spellEnd"/>
      <w:r w:rsidRPr="005E794F">
        <w:rPr>
          <w:i/>
          <w:color w:val="000000"/>
          <w:sz w:val="24"/>
          <w:szCs w:val="24"/>
          <w:lang w:val="ru-RU" w:eastAsia="ru-RU" w:bidi="ru-RU"/>
        </w:rPr>
        <w:t xml:space="preserve"> </w:t>
      </w:r>
      <w:proofErr w:type="spellStart"/>
      <w:r w:rsidRPr="005E794F">
        <w:rPr>
          <w:i/>
          <w:color w:val="000000"/>
          <w:sz w:val="24"/>
          <w:szCs w:val="24"/>
          <w:lang w:eastAsia="ru-RU" w:bidi="ru-RU"/>
        </w:rPr>
        <w:t>ехр</w:t>
      </w:r>
      <w:proofErr w:type="spellEnd"/>
      <w:r w:rsidRPr="005E794F">
        <w:rPr>
          <w:i/>
          <w:color w:val="000000"/>
          <w:sz w:val="24"/>
          <w:szCs w:val="24"/>
          <w:lang w:val="ru-RU" w:eastAsia="ru-RU" w:bidi="ru-RU"/>
        </w:rPr>
        <w:t xml:space="preserve"> (-</w:t>
      </w:r>
      <w:r w:rsidRPr="005E794F">
        <w:rPr>
          <w:i/>
          <w:color w:val="000000"/>
          <w:sz w:val="24"/>
          <w:szCs w:val="24"/>
          <w:lang w:eastAsia="ru-RU" w:bidi="ru-RU"/>
        </w:rPr>
        <w:t>РΩ</w:t>
      </w:r>
      <w:r w:rsidRPr="005E794F">
        <w:rPr>
          <w:i/>
          <w:color w:val="000000"/>
          <w:sz w:val="24"/>
          <w:szCs w:val="24"/>
          <w:lang w:val="ru-RU" w:eastAsia="ru-RU" w:bidi="ru-RU"/>
        </w:rPr>
        <w:t>/</w:t>
      </w:r>
      <w:r w:rsidRPr="005E794F">
        <w:rPr>
          <w:i/>
          <w:color w:val="000000"/>
          <w:sz w:val="24"/>
          <w:szCs w:val="24"/>
          <w:lang w:val="en-US" w:eastAsia="ru-RU" w:bidi="ru-RU"/>
        </w:rPr>
        <w:t>k</w:t>
      </w:r>
      <w:r w:rsidRPr="005E794F">
        <w:rPr>
          <w:i/>
          <w:color w:val="000000"/>
          <w:sz w:val="24"/>
          <w:szCs w:val="24"/>
          <w:lang w:eastAsia="ru-RU" w:bidi="ru-RU"/>
        </w:rPr>
        <w:t>Т</w:t>
      </w:r>
      <w:proofErr w:type="gramStart"/>
      <w:r w:rsidRPr="005E794F">
        <w:rPr>
          <w:i/>
          <w:color w:val="000000"/>
          <w:sz w:val="24"/>
          <w:szCs w:val="24"/>
          <w:lang w:val="ru-RU" w:eastAsia="ru-RU" w:bidi="ru-RU"/>
        </w:rPr>
        <w:t>)</w:t>
      </w:r>
      <w:r w:rsidRPr="005E794F">
        <w:rPr>
          <w:color w:val="000000"/>
          <w:sz w:val="24"/>
          <w:szCs w:val="24"/>
          <w:lang w:val="ru-RU" w:eastAsia="ru-RU" w:bidi="ru-RU"/>
        </w:rPr>
        <w:t xml:space="preserve">,   </w:t>
      </w:r>
      <w:proofErr w:type="gramEnd"/>
      <w:r w:rsidRPr="005E794F">
        <w:rPr>
          <w:color w:val="000000"/>
          <w:sz w:val="24"/>
          <w:szCs w:val="24"/>
          <w:lang w:val="ru-RU" w:eastAsia="ru-RU" w:bidi="ru-RU"/>
        </w:rPr>
        <w:t xml:space="preserve">                                                                                                          (1)</w:t>
      </w:r>
    </w:p>
    <w:p w:rsidR="005E794F" w:rsidRPr="005E794F" w:rsidRDefault="005E794F" w:rsidP="005E794F">
      <w:pPr>
        <w:adjustRightInd w:val="0"/>
        <w:ind w:firstLine="284"/>
        <w:jc w:val="both"/>
        <w:rPr>
          <w:b/>
          <w:color w:val="000000"/>
          <w:sz w:val="24"/>
          <w:szCs w:val="24"/>
          <w:lang w:val="ru-RU" w:eastAsia="ru-RU" w:bidi="ru-RU"/>
        </w:rPr>
      </w:pPr>
    </w:p>
    <w:p w:rsidR="005E794F" w:rsidRPr="005E794F" w:rsidRDefault="005E794F" w:rsidP="005E794F">
      <w:pPr>
        <w:adjustRightInd w:val="0"/>
        <w:jc w:val="both"/>
        <w:rPr>
          <w:sz w:val="24"/>
          <w:szCs w:val="24"/>
          <w:lang w:val="en-US"/>
        </w:rPr>
      </w:pPr>
      <w:r w:rsidRPr="005E794F">
        <w:rPr>
          <w:color w:val="000000"/>
          <w:sz w:val="24"/>
          <w:szCs w:val="24"/>
          <w:lang w:val="en-US" w:eastAsia="ru-RU" w:bidi="ru-RU"/>
        </w:rPr>
        <w:t>w</w:t>
      </w:r>
      <w:r w:rsidRPr="005E794F">
        <w:rPr>
          <w:sz w:val="24"/>
          <w:szCs w:val="24"/>
          <w:lang w:val="en-US"/>
        </w:rPr>
        <w:t xml:space="preserve">here: </w:t>
      </w:r>
      <w:proofErr w:type="spellStart"/>
      <w:r w:rsidRPr="005E794F">
        <w:rPr>
          <w:i/>
          <w:color w:val="000000"/>
          <w:sz w:val="24"/>
          <w:szCs w:val="24"/>
          <w:lang w:eastAsia="ru-RU" w:bidi="ru-RU"/>
        </w:rPr>
        <w:t>Со</w:t>
      </w:r>
      <w:proofErr w:type="spellEnd"/>
      <w:r w:rsidRPr="005E794F">
        <w:rPr>
          <w:sz w:val="24"/>
          <w:szCs w:val="24"/>
          <w:lang w:val="en-US"/>
        </w:rPr>
        <w:t xml:space="preserve"> is the equilibrium component concentration at </w:t>
      </w:r>
      <w:r w:rsidRPr="005E794F">
        <w:rPr>
          <w:i/>
          <w:sz w:val="24"/>
          <w:szCs w:val="24"/>
          <w:lang w:val="en-US"/>
        </w:rPr>
        <w:t>P=0</w:t>
      </w:r>
      <w:r w:rsidRPr="005E794F">
        <w:rPr>
          <w:sz w:val="24"/>
          <w:szCs w:val="24"/>
          <w:lang w:val="en-US"/>
        </w:rPr>
        <w:t xml:space="preserve">; </w:t>
      </w:r>
      <w:r w:rsidRPr="005E794F">
        <w:rPr>
          <w:i/>
          <w:sz w:val="24"/>
          <w:szCs w:val="24"/>
        </w:rPr>
        <w:t>Ω</w:t>
      </w:r>
      <w:r w:rsidRPr="005E794F">
        <w:rPr>
          <w:sz w:val="24"/>
          <w:szCs w:val="24"/>
          <w:lang w:val="en-US"/>
        </w:rPr>
        <w:t xml:space="preserve"> is the atomic volume; </w:t>
      </w:r>
      <w:r w:rsidRPr="005E794F">
        <w:rPr>
          <w:i/>
          <w:sz w:val="24"/>
          <w:szCs w:val="24"/>
        </w:rPr>
        <w:t>Р</w:t>
      </w:r>
      <w:r w:rsidRPr="005E794F">
        <w:rPr>
          <w:sz w:val="24"/>
          <w:szCs w:val="24"/>
          <w:lang w:val="en-US"/>
        </w:rPr>
        <w:t xml:space="preserve"> is the all-round compression pressure; </w:t>
      </w:r>
      <w:r w:rsidRPr="005E794F">
        <w:rPr>
          <w:i/>
          <w:sz w:val="24"/>
          <w:szCs w:val="24"/>
          <w:lang w:val="en-US"/>
        </w:rPr>
        <w:t>k</w:t>
      </w:r>
      <w:r w:rsidRPr="005E794F">
        <w:rPr>
          <w:sz w:val="24"/>
          <w:szCs w:val="24"/>
          <w:lang w:val="en-US"/>
        </w:rPr>
        <w:t xml:space="preserve"> is the Boltzmann's constant; </w:t>
      </w:r>
      <w:r w:rsidRPr="005E794F">
        <w:rPr>
          <w:i/>
          <w:sz w:val="24"/>
          <w:szCs w:val="24"/>
          <w:lang w:val="en-US"/>
        </w:rPr>
        <w:t>T</w:t>
      </w:r>
      <w:r w:rsidRPr="005E794F">
        <w:rPr>
          <w:sz w:val="24"/>
          <w:szCs w:val="24"/>
          <w:lang w:val="en-US"/>
        </w:rPr>
        <w:t xml:space="preserve"> is the temperature. In this case the "minus" symbol denotes compression. That is, the amount of vacancies decreases with increase in pressure, such that the diffusive flow of atoms decreases too. In 1954 S. </w:t>
      </w:r>
      <w:proofErr w:type="spellStart"/>
      <w:r w:rsidRPr="005E794F">
        <w:rPr>
          <w:sz w:val="24"/>
          <w:szCs w:val="24"/>
          <w:lang w:val="en-US"/>
        </w:rPr>
        <w:t>Storchheim</w:t>
      </w:r>
      <w:proofErr w:type="spellEnd"/>
      <w:r w:rsidRPr="005E794F">
        <w:rPr>
          <w:sz w:val="24"/>
          <w:szCs w:val="24"/>
          <w:lang w:val="en-US"/>
        </w:rPr>
        <w:t xml:space="preserve"> et al</w:t>
      </w:r>
      <w:r>
        <w:rPr>
          <w:sz w:val="24"/>
          <w:szCs w:val="24"/>
          <w:lang w:val="en-US"/>
        </w:rPr>
        <w:t>l</w:t>
      </w:r>
      <w:r w:rsidRPr="005E794F">
        <w:rPr>
          <w:sz w:val="24"/>
          <w:szCs w:val="24"/>
          <w:lang w:val="en-US"/>
        </w:rPr>
        <w:t xml:space="preserve"> [3] established that the phase Ni</w:t>
      </w:r>
      <w:r w:rsidRPr="005E794F">
        <w:rPr>
          <w:sz w:val="24"/>
          <w:szCs w:val="24"/>
          <w:vertAlign w:val="subscript"/>
          <w:lang w:val="en-US"/>
        </w:rPr>
        <w:t>3</w:t>
      </w:r>
      <w:r w:rsidRPr="005E794F">
        <w:rPr>
          <w:sz w:val="24"/>
          <w:szCs w:val="24"/>
          <w:lang w:val="en-US"/>
        </w:rPr>
        <w:t>Al</w:t>
      </w:r>
      <w:r w:rsidRPr="005E794F">
        <w:rPr>
          <w:sz w:val="24"/>
          <w:szCs w:val="24"/>
          <w:vertAlign w:val="subscript"/>
          <w:lang w:val="en-US"/>
        </w:rPr>
        <w:t>2</w:t>
      </w:r>
      <w:r w:rsidRPr="005E794F">
        <w:rPr>
          <w:sz w:val="24"/>
          <w:szCs w:val="24"/>
          <w:lang w:val="en-US"/>
        </w:rPr>
        <w:t xml:space="preserve"> was not formed even at pressure of 170-300 MPa, only the phase Ni</w:t>
      </w:r>
      <w:r w:rsidRPr="005E794F">
        <w:rPr>
          <w:sz w:val="24"/>
          <w:szCs w:val="24"/>
          <w:vertAlign w:val="subscript"/>
          <w:lang w:val="en-US"/>
        </w:rPr>
        <w:t>3</w:t>
      </w:r>
      <w:r w:rsidRPr="005E794F">
        <w:rPr>
          <w:sz w:val="24"/>
          <w:szCs w:val="24"/>
          <w:lang w:val="en-US"/>
        </w:rPr>
        <w:t>Al was formed at pressure higher than 300 MPa, and intermetallic phases were not observed at a pressure about 500 MPa. Thus it is possible to increase or reduce diffusion rate with pressure increasing or decreasing. In so doing it is possible to reach such process conditions wherein the nucleation and growth of undesirable phases can be depressed at the contact zone.</w:t>
      </w:r>
    </w:p>
    <w:p w:rsidR="005E794F" w:rsidRPr="00477194" w:rsidRDefault="005E794F" w:rsidP="005E794F">
      <w:pPr>
        <w:adjustRightInd w:val="0"/>
        <w:rPr>
          <w:rFonts w:ascii="Lucida" w:hAnsi="Lucida" w:cs="Lucida"/>
          <w:lang w:val="en-US"/>
        </w:rPr>
      </w:pPr>
    </w:p>
    <w:p w:rsidR="005E794F" w:rsidRPr="005E794F" w:rsidRDefault="005E794F" w:rsidP="005E794F">
      <w:pPr>
        <w:adjustRightInd w:val="0"/>
        <w:jc w:val="both"/>
        <w:rPr>
          <w:b/>
          <w:sz w:val="24"/>
          <w:szCs w:val="24"/>
          <w:lang w:val="en-US"/>
        </w:rPr>
      </w:pPr>
      <w:r w:rsidRPr="005E794F">
        <w:rPr>
          <w:b/>
          <w:sz w:val="24"/>
          <w:szCs w:val="24"/>
          <w:lang w:val="en-US"/>
        </w:rPr>
        <w:t>Dwell time</w:t>
      </w:r>
    </w:p>
    <w:p w:rsidR="005E794F" w:rsidRPr="005E794F" w:rsidRDefault="005E794F" w:rsidP="00C35AF8">
      <w:pPr>
        <w:adjustRightInd w:val="0"/>
        <w:spacing w:before="120"/>
        <w:ind w:firstLine="284"/>
        <w:jc w:val="both"/>
        <w:rPr>
          <w:sz w:val="24"/>
          <w:szCs w:val="24"/>
          <w:lang w:val="en-US"/>
        </w:rPr>
      </w:pPr>
      <w:r w:rsidRPr="005E794F">
        <w:rPr>
          <w:sz w:val="24"/>
          <w:szCs w:val="24"/>
          <w:lang w:val="en-US"/>
        </w:rPr>
        <w:t>Theoretically the duration of a HIP DW technological parameters can be unlimited and depends only on the end result required. HIP DW excludes the void volume along a boundary of the dissimilar metal diffusion bonding that caused by distinction in partial component diffusion coefficients, for example, nickel and copper (</w:t>
      </w:r>
      <w:proofErr w:type="spellStart"/>
      <w:r w:rsidRPr="005E794F">
        <w:rPr>
          <w:sz w:val="24"/>
          <w:szCs w:val="24"/>
          <w:lang w:val="en-US"/>
        </w:rPr>
        <w:t>Kirkendall’s</w:t>
      </w:r>
      <w:proofErr w:type="spellEnd"/>
      <w:r w:rsidRPr="005E794F">
        <w:rPr>
          <w:sz w:val="24"/>
          <w:szCs w:val="24"/>
          <w:lang w:val="en-US"/>
        </w:rPr>
        <w:t xml:space="preserve"> effect [3]), as owing to constantly applied pressure the formed vacancies are replaced with metal atoms having the largest diffusion velocity, here copper (Fig</w:t>
      </w:r>
      <w:r>
        <w:rPr>
          <w:sz w:val="24"/>
          <w:szCs w:val="24"/>
          <w:lang w:val="en-US"/>
        </w:rPr>
        <w:t>.</w:t>
      </w:r>
      <w:r w:rsidRPr="005E794F">
        <w:rPr>
          <w:sz w:val="24"/>
          <w:szCs w:val="24"/>
          <w:lang w:val="en-US"/>
        </w:rPr>
        <w:t>1). Therefore, it is possible to create quite a wide transitional area in a contact zone of dissimilar metals (up to several hundred microns) by operating of HIP DW duration. Increasing the transitional area width will give the positive effect, for example, as damping layers between metals of greatly different coefficient of thermal expansion.</w:t>
      </w:r>
    </w:p>
    <w:tbl>
      <w:tblPr>
        <w:tblStyle w:val="af5"/>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2905"/>
        <w:gridCol w:w="4470"/>
      </w:tblGrid>
      <w:tr w:rsidR="005E794F" w:rsidRPr="005E794F" w:rsidTr="005E794F">
        <w:tc>
          <w:tcPr>
            <w:tcW w:w="1843" w:type="dxa"/>
          </w:tcPr>
          <w:p w:rsidR="005E794F" w:rsidRPr="005E794F" w:rsidRDefault="005E794F" w:rsidP="005E794F">
            <w:pPr>
              <w:adjustRightInd w:val="0"/>
              <w:spacing w:before="120"/>
              <w:jc w:val="both"/>
              <w:rPr>
                <w:rFonts w:ascii="Times New Roman" w:hAnsi="Times New Roman" w:cs="Times New Roman"/>
                <w:sz w:val="24"/>
                <w:szCs w:val="24"/>
                <w:lang w:val="en-US"/>
              </w:rPr>
            </w:pPr>
            <w:r w:rsidRPr="005E794F">
              <w:rPr>
                <w:noProof/>
                <w:color w:val="000000"/>
                <w:sz w:val="24"/>
                <w:szCs w:val="24"/>
                <w:lang w:val="ru-RU" w:eastAsia="ru-RU"/>
              </w:rPr>
              <w:drawing>
                <wp:inline distT="0" distB="0" distL="0" distR="0" wp14:anchorId="06968A67" wp14:editId="58483CE0">
                  <wp:extent cx="853147" cy="1139781"/>
                  <wp:effectExtent l="0" t="0" r="4445"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1а ГИП.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82354" cy="1178801"/>
                          </a:xfrm>
                          <a:prstGeom prst="rect">
                            <a:avLst/>
                          </a:prstGeom>
                        </pic:spPr>
                      </pic:pic>
                    </a:graphicData>
                  </a:graphic>
                </wp:inline>
              </w:drawing>
            </w:r>
            <w:r w:rsidRPr="005E794F">
              <w:rPr>
                <w:rFonts w:ascii="Times New Roman" w:hAnsi="Times New Roman" w:cs="Times New Roman"/>
                <w:color w:val="000000"/>
                <w:sz w:val="24"/>
                <w:szCs w:val="24"/>
                <w:lang w:eastAsia="ru-RU" w:bidi="ru-RU"/>
              </w:rPr>
              <w:t xml:space="preserve"> а</w:t>
            </w:r>
          </w:p>
        </w:tc>
        <w:tc>
          <w:tcPr>
            <w:tcW w:w="2905" w:type="dxa"/>
          </w:tcPr>
          <w:p w:rsidR="005E794F" w:rsidRPr="005E794F" w:rsidRDefault="005E794F" w:rsidP="005E794F">
            <w:pPr>
              <w:adjustRightInd w:val="0"/>
              <w:spacing w:before="120"/>
              <w:jc w:val="both"/>
              <w:rPr>
                <w:rFonts w:ascii="Times New Roman" w:hAnsi="Times New Roman" w:cs="Times New Roman"/>
                <w:sz w:val="24"/>
                <w:szCs w:val="24"/>
                <w:lang w:val="en-US"/>
              </w:rPr>
            </w:pPr>
            <w:r w:rsidRPr="005E794F">
              <w:rPr>
                <w:noProof/>
                <w:color w:val="000000"/>
                <w:sz w:val="24"/>
                <w:szCs w:val="24"/>
                <w:lang w:val="ru-RU" w:eastAsia="ru-RU"/>
              </w:rPr>
              <w:drawing>
                <wp:inline distT="0" distB="0" distL="0" distR="0" wp14:anchorId="665444B3" wp14:editId="49DC7360">
                  <wp:extent cx="1496484" cy="1123950"/>
                  <wp:effectExtent l="0" t="0" r="889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IP 1-1 см.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32173" cy="1150755"/>
                          </a:xfrm>
                          <a:prstGeom prst="rect">
                            <a:avLst/>
                          </a:prstGeom>
                        </pic:spPr>
                      </pic:pic>
                    </a:graphicData>
                  </a:graphic>
                </wp:inline>
              </w:drawing>
            </w:r>
            <w:r w:rsidRPr="005E794F">
              <w:rPr>
                <w:rFonts w:ascii="Times New Roman" w:hAnsi="Times New Roman" w:cs="Times New Roman"/>
                <w:color w:val="000000"/>
                <w:sz w:val="24"/>
                <w:szCs w:val="24"/>
                <w:lang w:eastAsia="ru-RU" w:bidi="ru-RU"/>
              </w:rPr>
              <w:t xml:space="preserve"> </w:t>
            </w:r>
            <w:r w:rsidRPr="005E794F">
              <w:rPr>
                <w:rFonts w:ascii="Times New Roman" w:hAnsi="Times New Roman" w:cs="Times New Roman"/>
                <w:color w:val="000000"/>
                <w:sz w:val="24"/>
                <w:szCs w:val="24"/>
                <w:lang w:val="en-US" w:eastAsia="ru-RU" w:bidi="ru-RU"/>
              </w:rPr>
              <w:t>b</w:t>
            </w:r>
          </w:p>
        </w:tc>
        <w:tc>
          <w:tcPr>
            <w:tcW w:w="4470" w:type="dxa"/>
          </w:tcPr>
          <w:p w:rsidR="005E794F" w:rsidRPr="005E794F" w:rsidRDefault="005E794F" w:rsidP="005E794F">
            <w:pPr>
              <w:adjustRightInd w:val="0"/>
              <w:spacing w:before="120"/>
              <w:rPr>
                <w:rFonts w:ascii="Times New Roman" w:hAnsi="Times New Roman" w:cs="Times New Roman"/>
                <w:sz w:val="24"/>
                <w:szCs w:val="24"/>
                <w:lang w:val="en-US"/>
              </w:rPr>
            </w:pPr>
          </w:p>
          <w:p w:rsidR="005E794F" w:rsidRPr="005E794F" w:rsidRDefault="005E794F" w:rsidP="005E794F">
            <w:pPr>
              <w:adjustRightInd w:val="0"/>
              <w:spacing w:before="120"/>
              <w:jc w:val="both"/>
              <w:rPr>
                <w:rFonts w:ascii="Times New Roman" w:hAnsi="Times New Roman" w:cs="Times New Roman"/>
                <w:sz w:val="24"/>
                <w:szCs w:val="24"/>
                <w:lang w:val="en-US"/>
              </w:rPr>
            </w:pPr>
            <w:r w:rsidRPr="005E794F">
              <w:rPr>
                <w:rFonts w:ascii="Times New Roman" w:hAnsi="Times New Roman" w:cs="Times New Roman"/>
                <w:sz w:val="24"/>
                <w:szCs w:val="24"/>
                <w:lang w:val="en-US"/>
              </w:rPr>
              <w:t>Fig</w:t>
            </w:r>
            <w:r>
              <w:rPr>
                <w:rFonts w:ascii="Times New Roman" w:hAnsi="Times New Roman" w:cs="Times New Roman"/>
                <w:sz w:val="24"/>
                <w:szCs w:val="24"/>
                <w:lang w:val="en-US"/>
              </w:rPr>
              <w:t>.</w:t>
            </w:r>
            <w:r w:rsidRPr="005E794F">
              <w:rPr>
                <w:rFonts w:ascii="Times New Roman" w:hAnsi="Times New Roman" w:cs="Times New Roman"/>
                <w:sz w:val="24"/>
                <w:szCs w:val="24"/>
                <w:lang w:val="en-US"/>
              </w:rPr>
              <w:t>1 – Voids in copper of Ni-Cu diffusion bonding according to Le Claire A.D. and Barnes R.S. [3], A is the initial line of contact (a), absence of voids after HIP DW [4] (b)</w:t>
            </w:r>
          </w:p>
        </w:tc>
      </w:tr>
    </w:tbl>
    <w:p w:rsidR="005E794F" w:rsidRPr="005E794F" w:rsidRDefault="005E794F" w:rsidP="00C35AF8">
      <w:pPr>
        <w:spacing w:before="120" w:line="360" w:lineRule="auto"/>
        <w:jc w:val="both"/>
        <w:rPr>
          <w:b/>
          <w:sz w:val="24"/>
          <w:szCs w:val="24"/>
          <w:lang w:val="en-US"/>
        </w:rPr>
      </w:pPr>
      <w:r w:rsidRPr="005E794F">
        <w:rPr>
          <w:b/>
          <w:sz w:val="24"/>
          <w:szCs w:val="24"/>
          <w:lang w:val="en-US"/>
        </w:rPr>
        <w:t>Environment</w:t>
      </w:r>
    </w:p>
    <w:p w:rsidR="005E794F" w:rsidRPr="005E794F" w:rsidRDefault="005E794F" w:rsidP="00C35AF8">
      <w:pPr>
        <w:ind w:firstLine="284"/>
        <w:jc w:val="both"/>
        <w:rPr>
          <w:sz w:val="24"/>
          <w:szCs w:val="24"/>
          <w:lang w:val="en-US"/>
        </w:rPr>
      </w:pPr>
      <w:r w:rsidRPr="005E794F">
        <w:rPr>
          <w:sz w:val="24"/>
          <w:szCs w:val="24"/>
          <w:lang w:val="en-US"/>
        </w:rPr>
        <w:t>Under the fine vacuum and at the high temperatures the dissolution of oxides promotes the formation of juvenile contact surfaces of the joints bonded.</w:t>
      </w:r>
    </w:p>
    <w:p w:rsidR="005E794F" w:rsidRPr="005E794F" w:rsidRDefault="005E794F" w:rsidP="005E794F">
      <w:pPr>
        <w:adjustRightInd w:val="0"/>
        <w:spacing w:before="120"/>
        <w:rPr>
          <w:b/>
          <w:sz w:val="24"/>
          <w:szCs w:val="24"/>
          <w:lang w:val="en-US"/>
        </w:rPr>
      </w:pPr>
      <w:r w:rsidRPr="005E794F">
        <w:rPr>
          <w:b/>
          <w:sz w:val="24"/>
          <w:szCs w:val="24"/>
          <w:lang w:val="en-US"/>
        </w:rPr>
        <w:t>Results of experiments</w:t>
      </w:r>
    </w:p>
    <w:p w:rsidR="005E794F" w:rsidRPr="005E794F" w:rsidRDefault="005E794F" w:rsidP="005E794F">
      <w:pPr>
        <w:adjustRightInd w:val="0"/>
        <w:spacing w:before="120"/>
        <w:rPr>
          <w:i/>
          <w:sz w:val="24"/>
          <w:szCs w:val="24"/>
          <w:lang w:val="en-US"/>
        </w:rPr>
      </w:pPr>
      <w:r w:rsidRPr="005E794F">
        <w:rPr>
          <w:i/>
          <w:sz w:val="24"/>
          <w:szCs w:val="24"/>
          <w:lang w:val="en-US"/>
        </w:rPr>
        <w:t>Steel XM19-to-steel 316L HIP Diffusion Bonding</w:t>
      </w:r>
    </w:p>
    <w:p w:rsidR="005E794F" w:rsidRPr="005E794F" w:rsidRDefault="005E794F" w:rsidP="005E794F">
      <w:pPr>
        <w:spacing w:before="120"/>
        <w:ind w:firstLine="284"/>
        <w:jc w:val="both"/>
        <w:rPr>
          <w:sz w:val="24"/>
          <w:szCs w:val="24"/>
          <w:lang w:val="en-US"/>
        </w:rPr>
      </w:pPr>
      <w:r w:rsidRPr="005E794F">
        <w:rPr>
          <w:sz w:val="24"/>
          <w:szCs w:val="24"/>
          <w:lang w:val="en-US"/>
        </w:rPr>
        <w:t>Within an International Thermonuclear Experimental Reactor (ITER) program the diffusion welding has been performed of large-size parts of corrosion-resistant stainless steel AISI 316L and high-strength steel XM19 intended for prefabrication of the d</w:t>
      </w:r>
      <w:r>
        <w:rPr>
          <w:sz w:val="24"/>
          <w:szCs w:val="24"/>
          <w:lang w:val="en-US"/>
        </w:rPr>
        <w:t>iverter attachment fitting (Fig.</w:t>
      </w:r>
      <w:r w:rsidRPr="005E794F">
        <w:rPr>
          <w:sz w:val="24"/>
          <w:szCs w:val="24"/>
          <w:lang w:val="en-US"/>
        </w:rPr>
        <w:t>2a). The structural assembly mass is equal to 760 kg and the summary diffusion bonded surface area is nearly 770 cm</w:t>
      </w:r>
      <w:r w:rsidRPr="005E794F">
        <w:rPr>
          <w:sz w:val="24"/>
          <w:szCs w:val="24"/>
          <w:vertAlign w:val="superscript"/>
          <w:lang w:val="en-US"/>
        </w:rPr>
        <w:t xml:space="preserve">2 </w:t>
      </w:r>
      <w:r w:rsidRPr="005E794F">
        <w:rPr>
          <w:sz w:val="24"/>
          <w:szCs w:val="24"/>
          <w:lang w:val="en-US"/>
        </w:rPr>
        <w:t>(Fig</w:t>
      </w:r>
      <w:r>
        <w:rPr>
          <w:sz w:val="24"/>
          <w:szCs w:val="24"/>
          <w:lang w:val="en-US"/>
        </w:rPr>
        <w:t>.</w:t>
      </w:r>
      <w:r w:rsidRPr="005E794F">
        <w:rPr>
          <w:sz w:val="24"/>
          <w:szCs w:val="24"/>
          <w:lang w:val="en-US"/>
        </w:rPr>
        <w:t>2b) and 1260 cm</w:t>
      </w:r>
      <w:r w:rsidRPr="005E794F">
        <w:rPr>
          <w:sz w:val="24"/>
          <w:szCs w:val="24"/>
          <w:vertAlign w:val="superscript"/>
          <w:lang w:val="en-US"/>
        </w:rPr>
        <w:t xml:space="preserve">2 </w:t>
      </w:r>
      <w:r w:rsidRPr="005E794F">
        <w:rPr>
          <w:sz w:val="24"/>
          <w:szCs w:val="24"/>
          <w:lang w:val="en-US"/>
        </w:rPr>
        <w:t>(Fig</w:t>
      </w:r>
      <w:r>
        <w:rPr>
          <w:sz w:val="24"/>
          <w:szCs w:val="24"/>
          <w:lang w:val="en-US"/>
        </w:rPr>
        <w:t>.</w:t>
      </w:r>
      <w:r w:rsidRPr="005E794F">
        <w:rPr>
          <w:sz w:val="24"/>
          <w:szCs w:val="24"/>
          <w:lang w:val="en-US"/>
        </w:rPr>
        <w:t>2c). Failure of the bimetallic tension specimens takes place on the base metal of steel 316L outside the diffusion bonding</w:t>
      </w:r>
      <w:r>
        <w:rPr>
          <w:sz w:val="24"/>
          <w:szCs w:val="24"/>
          <w:lang w:val="en-US"/>
        </w:rPr>
        <w:t xml:space="preserve"> zone (Fig.</w:t>
      </w:r>
      <w:r w:rsidRPr="005E794F">
        <w:rPr>
          <w:sz w:val="24"/>
          <w:szCs w:val="24"/>
          <w:lang w:val="en-US"/>
        </w:rPr>
        <w:t xml:space="preserve">3a) as tensile strength of the HIP diffusion bonded zone is higher that tensile strength of steel 316L. In microstructure of </w:t>
      </w:r>
      <w:r w:rsidRPr="005E794F">
        <w:rPr>
          <w:sz w:val="24"/>
          <w:szCs w:val="24"/>
          <w:lang w:val="en-US"/>
        </w:rPr>
        <w:lastRenderedPageBreak/>
        <w:t>the diffusion bonded zone steel XM19-to-steel 316L (Fig</w:t>
      </w:r>
      <w:r>
        <w:rPr>
          <w:sz w:val="24"/>
          <w:szCs w:val="24"/>
          <w:lang w:val="en-US"/>
        </w:rPr>
        <w:t>.</w:t>
      </w:r>
      <w:r w:rsidRPr="005E794F">
        <w:rPr>
          <w:sz w:val="24"/>
          <w:szCs w:val="24"/>
          <w:lang w:val="en-US"/>
        </w:rPr>
        <w:t>3b) the presence of oxide phases is not detected. Besides, the common grains were observed in a contact area.</w:t>
      </w:r>
    </w:p>
    <w:tbl>
      <w:tblPr>
        <w:tblStyle w:val="af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8"/>
        <w:gridCol w:w="2581"/>
        <w:gridCol w:w="2180"/>
      </w:tblGrid>
      <w:tr w:rsidR="005E794F" w:rsidRPr="00C35AF8" w:rsidTr="0065512F">
        <w:trPr>
          <w:jc w:val="center"/>
        </w:trPr>
        <w:tc>
          <w:tcPr>
            <w:tcW w:w="3938" w:type="dxa"/>
          </w:tcPr>
          <w:p w:rsidR="005E794F" w:rsidRPr="00C35AF8" w:rsidRDefault="005E794F" w:rsidP="00C35AF8">
            <w:pPr>
              <w:spacing w:before="120"/>
              <w:jc w:val="both"/>
              <w:rPr>
                <w:rFonts w:ascii="Times New Roman" w:hAnsi="Times New Roman" w:cs="Times New Roman"/>
                <w:color w:val="000000"/>
                <w:sz w:val="24"/>
                <w:szCs w:val="24"/>
                <w:lang w:val="en-US" w:eastAsia="ru-RU" w:bidi="ru-RU"/>
              </w:rPr>
            </w:pPr>
            <w:r w:rsidRPr="00C35AF8">
              <w:rPr>
                <w:noProof/>
                <w:color w:val="000000"/>
                <w:sz w:val="24"/>
                <w:szCs w:val="24"/>
                <w:lang w:val="ru-RU" w:eastAsia="ru-RU"/>
              </w:rPr>
              <w:drawing>
                <wp:inline distT="0" distB="0" distL="0" distR="0" wp14:anchorId="2942F661" wp14:editId="08F2AC2D">
                  <wp:extent cx="1796603" cy="1100512"/>
                  <wp:effectExtent l="0" t="0" r="0" b="444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Дивертор эскиз.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11111" cy="1109399"/>
                          </a:xfrm>
                          <a:prstGeom prst="rect">
                            <a:avLst/>
                          </a:prstGeom>
                        </pic:spPr>
                      </pic:pic>
                    </a:graphicData>
                  </a:graphic>
                </wp:inline>
              </w:drawing>
            </w:r>
            <w:r w:rsidRPr="00C35AF8">
              <w:rPr>
                <w:rFonts w:ascii="Times New Roman" w:hAnsi="Times New Roman" w:cs="Times New Roman"/>
                <w:color w:val="000000"/>
                <w:sz w:val="24"/>
                <w:szCs w:val="24"/>
                <w:lang w:eastAsia="ru-RU" w:bidi="ru-RU"/>
              </w:rPr>
              <w:t xml:space="preserve"> </w:t>
            </w:r>
            <w:r w:rsidRPr="00C35AF8">
              <w:rPr>
                <w:rFonts w:ascii="Times New Roman" w:hAnsi="Times New Roman" w:cs="Times New Roman"/>
                <w:color w:val="000000"/>
                <w:sz w:val="24"/>
                <w:szCs w:val="24"/>
                <w:lang w:val="en-US" w:eastAsia="ru-RU" w:bidi="ru-RU"/>
              </w:rPr>
              <w:t>a</w:t>
            </w:r>
          </w:p>
        </w:tc>
        <w:tc>
          <w:tcPr>
            <w:tcW w:w="2581" w:type="dxa"/>
          </w:tcPr>
          <w:p w:rsidR="005E794F" w:rsidRPr="00C35AF8" w:rsidRDefault="005E794F" w:rsidP="00C35AF8">
            <w:pPr>
              <w:spacing w:before="120"/>
              <w:jc w:val="both"/>
              <w:rPr>
                <w:rFonts w:ascii="Times New Roman" w:hAnsi="Times New Roman" w:cs="Times New Roman"/>
                <w:color w:val="000000"/>
                <w:sz w:val="24"/>
                <w:szCs w:val="24"/>
                <w:lang w:val="en-US" w:eastAsia="ru-RU" w:bidi="ru-RU"/>
              </w:rPr>
            </w:pPr>
            <w:r w:rsidRPr="00C35AF8">
              <w:rPr>
                <w:noProof/>
                <w:color w:val="000000"/>
                <w:sz w:val="24"/>
                <w:szCs w:val="24"/>
                <w:lang w:val="ru-RU" w:eastAsia="ru-RU"/>
              </w:rPr>
              <w:drawing>
                <wp:inline distT="0" distB="0" distL="0" distR="0" wp14:anchorId="60C3F205" wp14:editId="58288215">
                  <wp:extent cx="1028319" cy="1062507"/>
                  <wp:effectExtent l="0" t="0" r="635" b="444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Дивертор заготовка 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42412" cy="1077068"/>
                          </a:xfrm>
                          <a:prstGeom prst="rect">
                            <a:avLst/>
                          </a:prstGeom>
                        </pic:spPr>
                      </pic:pic>
                    </a:graphicData>
                  </a:graphic>
                </wp:inline>
              </w:drawing>
            </w:r>
            <w:r w:rsidRPr="00C35AF8">
              <w:rPr>
                <w:rFonts w:ascii="Times New Roman" w:hAnsi="Times New Roman" w:cs="Times New Roman"/>
                <w:color w:val="000000"/>
                <w:sz w:val="24"/>
                <w:szCs w:val="24"/>
                <w:lang w:eastAsia="ru-RU" w:bidi="ru-RU"/>
              </w:rPr>
              <w:t xml:space="preserve"> </w:t>
            </w:r>
            <w:r w:rsidRPr="00C35AF8">
              <w:rPr>
                <w:rFonts w:ascii="Times New Roman" w:hAnsi="Times New Roman" w:cs="Times New Roman"/>
                <w:color w:val="000000"/>
                <w:sz w:val="24"/>
                <w:szCs w:val="24"/>
                <w:lang w:val="en-US" w:eastAsia="ru-RU" w:bidi="ru-RU"/>
              </w:rPr>
              <w:t>b</w:t>
            </w:r>
          </w:p>
        </w:tc>
        <w:tc>
          <w:tcPr>
            <w:tcW w:w="2180" w:type="dxa"/>
          </w:tcPr>
          <w:p w:rsidR="005E794F" w:rsidRPr="00C35AF8" w:rsidRDefault="005E794F" w:rsidP="00C35AF8">
            <w:pPr>
              <w:spacing w:before="120"/>
              <w:jc w:val="both"/>
              <w:rPr>
                <w:rFonts w:ascii="Times New Roman" w:hAnsi="Times New Roman" w:cs="Times New Roman"/>
                <w:noProof/>
                <w:color w:val="000000"/>
                <w:sz w:val="24"/>
                <w:szCs w:val="24"/>
                <w:lang w:val="en-US" w:eastAsia="ru-RU"/>
              </w:rPr>
            </w:pPr>
            <w:r w:rsidRPr="00C35AF8">
              <w:rPr>
                <w:noProof/>
                <w:color w:val="000000"/>
                <w:sz w:val="24"/>
                <w:szCs w:val="24"/>
                <w:lang w:val="ru-RU" w:eastAsia="ru-RU"/>
              </w:rPr>
              <w:drawing>
                <wp:inline distT="0" distB="0" distL="0" distR="0" wp14:anchorId="2513386C" wp14:editId="6D684413">
                  <wp:extent cx="764010" cy="1101144"/>
                  <wp:effectExtent l="0" t="0" r="0" b="381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ивертор 2-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71947" cy="1112583"/>
                          </a:xfrm>
                          <a:prstGeom prst="rect">
                            <a:avLst/>
                          </a:prstGeom>
                        </pic:spPr>
                      </pic:pic>
                    </a:graphicData>
                  </a:graphic>
                </wp:inline>
              </w:drawing>
            </w:r>
            <w:r w:rsidRPr="00C35AF8">
              <w:rPr>
                <w:rFonts w:ascii="Times New Roman" w:hAnsi="Times New Roman" w:cs="Times New Roman"/>
                <w:noProof/>
                <w:color w:val="000000"/>
                <w:sz w:val="24"/>
                <w:szCs w:val="24"/>
                <w:lang w:val="en-US" w:eastAsia="ru-RU"/>
              </w:rPr>
              <w:t xml:space="preserve"> c</w:t>
            </w:r>
          </w:p>
        </w:tc>
      </w:tr>
    </w:tbl>
    <w:p w:rsidR="005E794F" w:rsidRPr="005E794F" w:rsidRDefault="005E794F" w:rsidP="005E794F">
      <w:pPr>
        <w:adjustRightInd w:val="0"/>
        <w:ind w:firstLine="284"/>
        <w:rPr>
          <w:sz w:val="24"/>
          <w:szCs w:val="24"/>
          <w:lang w:val="en-US"/>
        </w:rPr>
      </w:pPr>
      <w:r w:rsidRPr="005E794F">
        <w:rPr>
          <w:sz w:val="24"/>
          <w:szCs w:val="24"/>
          <w:lang w:val="en-US"/>
        </w:rPr>
        <w:t>Fig.2 - Drawing of the diverter attachment fitting (a) and photography of the bimetallic steel XM19-to- steel 316L HIP DW assemblies (</w:t>
      </w:r>
      <w:proofErr w:type="spellStart"/>
      <w:proofErr w:type="gramStart"/>
      <w:r w:rsidRPr="005E794F">
        <w:rPr>
          <w:sz w:val="24"/>
          <w:szCs w:val="24"/>
          <w:lang w:val="en-US"/>
        </w:rPr>
        <w:t>b,c</w:t>
      </w:r>
      <w:proofErr w:type="spellEnd"/>
      <w:proofErr w:type="gramEnd"/>
      <w:r w:rsidRPr="005E794F">
        <w:rPr>
          <w:sz w:val="24"/>
          <w:szCs w:val="24"/>
          <w:lang w:val="en-US"/>
        </w:rPr>
        <w:t>).</w:t>
      </w: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0"/>
        <w:gridCol w:w="4105"/>
      </w:tblGrid>
      <w:tr w:rsidR="005E794F" w:rsidRPr="005E794F" w:rsidTr="0065512F">
        <w:tc>
          <w:tcPr>
            <w:tcW w:w="5240" w:type="dxa"/>
            <w:vAlign w:val="center"/>
          </w:tcPr>
          <w:p w:rsidR="005E794F" w:rsidRPr="005E794F" w:rsidRDefault="005E794F" w:rsidP="00C35AF8">
            <w:pPr>
              <w:spacing w:before="120"/>
              <w:ind w:firstLine="284"/>
              <w:jc w:val="center"/>
              <w:rPr>
                <w:rFonts w:ascii="Times New Roman" w:hAnsi="Times New Roman" w:cs="Times New Roman"/>
                <w:color w:val="000000"/>
                <w:sz w:val="24"/>
                <w:szCs w:val="24"/>
                <w:lang w:val="en-US" w:eastAsia="ru-RU" w:bidi="ru-RU"/>
              </w:rPr>
            </w:pPr>
            <w:r w:rsidRPr="005E794F">
              <w:rPr>
                <w:noProof/>
                <w:color w:val="000000"/>
                <w:sz w:val="24"/>
                <w:szCs w:val="24"/>
                <w:lang w:val="ru-RU" w:eastAsia="ru-RU"/>
              </w:rPr>
              <w:drawing>
                <wp:inline distT="0" distB="0" distL="0" distR="0" wp14:anchorId="5408799F" wp14:editId="642EB82E">
                  <wp:extent cx="2416410" cy="1019175"/>
                  <wp:effectExtent l="0" t="0" r="317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Образцы стали.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79852" cy="1045933"/>
                          </a:xfrm>
                          <a:prstGeom prst="rect">
                            <a:avLst/>
                          </a:prstGeom>
                        </pic:spPr>
                      </pic:pic>
                    </a:graphicData>
                  </a:graphic>
                </wp:inline>
              </w:drawing>
            </w:r>
            <w:r w:rsidR="00C35AF8">
              <w:rPr>
                <w:rFonts w:ascii="Times New Roman" w:hAnsi="Times New Roman" w:cs="Times New Roman"/>
                <w:color w:val="000000"/>
                <w:sz w:val="24"/>
                <w:szCs w:val="24"/>
                <w:lang w:eastAsia="ru-RU" w:bidi="ru-RU"/>
              </w:rPr>
              <w:t xml:space="preserve"> </w:t>
            </w:r>
            <w:r w:rsidRPr="005E794F">
              <w:rPr>
                <w:rFonts w:ascii="Times New Roman" w:hAnsi="Times New Roman" w:cs="Times New Roman"/>
                <w:color w:val="000000"/>
                <w:sz w:val="24"/>
                <w:szCs w:val="24"/>
                <w:lang w:eastAsia="ru-RU" w:bidi="ru-RU"/>
              </w:rPr>
              <w:t>а</w:t>
            </w:r>
          </w:p>
        </w:tc>
        <w:tc>
          <w:tcPr>
            <w:tcW w:w="4105" w:type="dxa"/>
          </w:tcPr>
          <w:p w:rsidR="005E794F" w:rsidRPr="005E794F" w:rsidRDefault="005E794F" w:rsidP="00C35AF8">
            <w:pPr>
              <w:spacing w:before="120"/>
              <w:ind w:firstLine="284"/>
              <w:jc w:val="both"/>
              <w:rPr>
                <w:rFonts w:ascii="Times New Roman" w:hAnsi="Times New Roman" w:cs="Times New Roman"/>
                <w:color w:val="000000"/>
                <w:sz w:val="24"/>
                <w:szCs w:val="24"/>
                <w:lang w:val="en-US" w:eastAsia="ru-RU" w:bidi="ru-RU"/>
              </w:rPr>
            </w:pPr>
            <w:r w:rsidRPr="005E794F">
              <w:rPr>
                <w:noProof/>
                <w:color w:val="000000"/>
                <w:sz w:val="24"/>
                <w:szCs w:val="24"/>
                <w:lang w:val="ru-RU" w:eastAsia="ru-RU"/>
              </w:rPr>
              <w:drawing>
                <wp:inline distT="0" distB="0" distL="0" distR="0" wp14:anchorId="6F5C9A5E" wp14:editId="4E9B0A4C">
                  <wp:extent cx="1635617" cy="1070778"/>
                  <wp:effectExtent l="0" t="0" r="317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 3б ГИП.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46747" cy="1078064"/>
                          </a:xfrm>
                          <a:prstGeom prst="rect">
                            <a:avLst/>
                          </a:prstGeom>
                        </pic:spPr>
                      </pic:pic>
                    </a:graphicData>
                  </a:graphic>
                </wp:inline>
              </w:drawing>
            </w:r>
            <w:r w:rsidRPr="005E794F">
              <w:rPr>
                <w:rFonts w:ascii="Times New Roman" w:hAnsi="Times New Roman" w:cs="Times New Roman"/>
                <w:color w:val="000000"/>
                <w:sz w:val="24"/>
                <w:szCs w:val="24"/>
                <w:lang w:val="en-US" w:eastAsia="ru-RU" w:bidi="ru-RU"/>
              </w:rPr>
              <w:t xml:space="preserve"> b</w:t>
            </w:r>
          </w:p>
        </w:tc>
      </w:tr>
    </w:tbl>
    <w:p w:rsidR="005E794F" w:rsidRPr="005E794F" w:rsidRDefault="005E794F" w:rsidP="00C35AF8">
      <w:pPr>
        <w:spacing w:before="120"/>
        <w:ind w:firstLine="284"/>
        <w:jc w:val="both"/>
        <w:rPr>
          <w:color w:val="000000"/>
          <w:sz w:val="24"/>
          <w:szCs w:val="24"/>
          <w:lang w:val="en-US" w:eastAsia="ru-RU" w:bidi="ru-RU"/>
        </w:rPr>
      </w:pPr>
      <w:r w:rsidRPr="005E794F">
        <w:rPr>
          <w:sz w:val="24"/>
          <w:szCs w:val="24"/>
          <w:lang w:val="en-US"/>
        </w:rPr>
        <w:t>Fig</w:t>
      </w:r>
      <w:r>
        <w:rPr>
          <w:sz w:val="24"/>
          <w:szCs w:val="24"/>
          <w:lang w:val="en-US"/>
        </w:rPr>
        <w:t>.</w:t>
      </w:r>
      <w:r w:rsidRPr="005E794F">
        <w:rPr>
          <w:sz w:val="24"/>
          <w:szCs w:val="24"/>
          <w:lang w:val="en-US"/>
        </w:rPr>
        <w:t xml:space="preserve">3 – </w:t>
      </w:r>
      <w:r w:rsidRPr="005E794F">
        <w:rPr>
          <w:color w:val="000000"/>
          <w:sz w:val="24"/>
          <w:szCs w:val="24"/>
          <w:lang w:val="en-US" w:eastAsia="ru-RU" w:bidi="ru-RU"/>
        </w:rPr>
        <w:t>The b</w:t>
      </w:r>
      <w:r w:rsidRPr="005E794F">
        <w:rPr>
          <w:sz w:val="24"/>
          <w:szCs w:val="24"/>
          <w:lang w:val="en-US"/>
        </w:rPr>
        <w:t>imetallic tension specimens steel XM19-to-steel 316L before</w:t>
      </w:r>
      <w:r w:rsidRPr="005E794F">
        <w:rPr>
          <w:color w:val="000000"/>
          <w:sz w:val="24"/>
          <w:szCs w:val="24"/>
          <w:lang w:val="en-US" w:eastAsia="ru-RU" w:bidi="ru-RU"/>
        </w:rPr>
        <w:t xml:space="preserve"> and after tensile testing (a),</w:t>
      </w:r>
      <w:r w:rsidRPr="005E794F">
        <w:rPr>
          <w:sz w:val="24"/>
          <w:szCs w:val="24"/>
          <w:lang w:val="en-US"/>
        </w:rPr>
        <w:t xml:space="preserve"> micrograph of a transitional layer (b), </w:t>
      </w:r>
      <w:r w:rsidRPr="005E794F">
        <w:rPr>
          <w:color w:val="000000"/>
          <w:sz w:val="24"/>
          <w:szCs w:val="24"/>
          <w:lang w:eastAsia="ru-RU" w:bidi="ru-RU"/>
        </w:rPr>
        <w:t>А</w:t>
      </w:r>
      <w:r w:rsidRPr="005E794F">
        <w:rPr>
          <w:color w:val="000000"/>
          <w:sz w:val="24"/>
          <w:szCs w:val="24"/>
          <w:lang w:val="en-US" w:eastAsia="ru-RU" w:bidi="ru-RU"/>
        </w:rPr>
        <w:t xml:space="preserve"> – </w:t>
      </w:r>
      <w:r w:rsidRPr="005E794F">
        <w:rPr>
          <w:sz w:val="24"/>
          <w:szCs w:val="24"/>
          <w:lang w:val="en-US"/>
        </w:rPr>
        <w:t>contact area</w:t>
      </w:r>
      <w:r w:rsidRPr="005E794F">
        <w:rPr>
          <w:color w:val="000000"/>
          <w:sz w:val="24"/>
          <w:szCs w:val="24"/>
          <w:lang w:val="en-US" w:eastAsia="ru-RU" w:bidi="ru-RU"/>
        </w:rPr>
        <w:t xml:space="preserve"> </w:t>
      </w:r>
      <w:r w:rsidRPr="005E794F">
        <w:rPr>
          <w:sz w:val="24"/>
          <w:szCs w:val="24"/>
          <w:lang w:val="en-US"/>
        </w:rPr>
        <w:t>[4]</w:t>
      </w:r>
      <w:r w:rsidRPr="005E794F">
        <w:rPr>
          <w:color w:val="000000"/>
          <w:sz w:val="24"/>
          <w:szCs w:val="24"/>
          <w:lang w:val="en-US" w:eastAsia="ru-RU" w:bidi="ru-RU"/>
        </w:rPr>
        <w:t>.</w:t>
      </w:r>
    </w:p>
    <w:p w:rsidR="005E794F" w:rsidRPr="00D43BC5" w:rsidRDefault="005E794F" w:rsidP="005E794F">
      <w:pPr>
        <w:spacing w:line="360" w:lineRule="auto"/>
        <w:ind w:firstLine="709"/>
        <w:jc w:val="both"/>
        <w:rPr>
          <w:rFonts w:ascii="Arial" w:hAnsi="Arial" w:cs="Arial"/>
          <w:color w:val="000000"/>
          <w:lang w:val="en-US" w:eastAsia="ru-RU" w:bidi="ru-RU"/>
        </w:rPr>
      </w:pPr>
    </w:p>
    <w:p w:rsidR="005E794F" w:rsidRPr="00BD765C" w:rsidRDefault="005E794F" w:rsidP="00BD765C">
      <w:pPr>
        <w:adjustRightInd w:val="0"/>
        <w:rPr>
          <w:i/>
          <w:sz w:val="24"/>
          <w:szCs w:val="24"/>
          <w:lang w:val="en-US"/>
        </w:rPr>
      </w:pPr>
      <w:r w:rsidRPr="00BD765C">
        <w:rPr>
          <w:i/>
          <w:sz w:val="24"/>
          <w:szCs w:val="24"/>
          <w:lang w:val="en-US"/>
        </w:rPr>
        <w:t>Bronze Cu-Cr-</w:t>
      </w:r>
      <w:proofErr w:type="spellStart"/>
      <w:r w:rsidRPr="00BD765C">
        <w:rPr>
          <w:i/>
          <w:sz w:val="24"/>
          <w:szCs w:val="24"/>
          <w:lang w:val="en-US"/>
        </w:rPr>
        <w:t>Zr</w:t>
      </w:r>
      <w:proofErr w:type="spellEnd"/>
      <w:r w:rsidRPr="00BD765C">
        <w:rPr>
          <w:i/>
          <w:sz w:val="24"/>
          <w:szCs w:val="24"/>
          <w:lang w:val="en-US"/>
        </w:rPr>
        <w:t>-to-steel 316L HIP Diffusion Bonding</w:t>
      </w:r>
    </w:p>
    <w:p w:rsidR="005E794F" w:rsidRPr="00BD765C" w:rsidRDefault="00BD765C" w:rsidP="00BD765C">
      <w:pPr>
        <w:adjustRightInd w:val="0"/>
        <w:jc w:val="both"/>
        <w:rPr>
          <w:sz w:val="24"/>
          <w:szCs w:val="24"/>
          <w:lang w:val="en-US"/>
        </w:rPr>
      </w:pPr>
      <w:r>
        <w:rPr>
          <w:noProof/>
          <w:lang w:val="ru-RU" w:eastAsia="ru-RU"/>
        </w:rPr>
        <w:drawing>
          <wp:anchor distT="0" distB="0" distL="114300" distR="114300" simplePos="0" relativeHeight="251659264" behindDoc="0" locked="0" layoutInCell="1" allowOverlap="1" wp14:anchorId="4CB4A5FD" wp14:editId="4950B067">
            <wp:simplePos x="0" y="0"/>
            <wp:positionH relativeFrom="column">
              <wp:posOffset>3987165</wp:posOffset>
            </wp:positionH>
            <wp:positionV relativeFrom="paragraph">
              <wp:posOffset>8255</wp:posOffset>
            </wp:positionV>
            <wp:extent cx="1659890" cy="3286760"/>
            <wp:effectExtent l="0" t="0" r="0" b="8890"/>
            <wp:wrapNone/>
            <wp:docPr id="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59890" cy="328676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af5"/>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837"/>
      </w:tblGrid>
      <w:tr w:rsidR="005E794F" w:rsidRPr="00BD765C" w:rsidTr="0065512F">
        <w:tc>
          <w:tcPr>
            <w:tcW w:w="4508" w:type="dxa"/>
          </w:tcPr>
          <w:p w:rsidR="005E794F" w:rsidRDefault="005E794F" w:rsidP="00BD765C">
            <w:pPr>
              <w:pStyle w:val="22"/>
              <w:shd w:val="clear" w:color="auto" w:fill="auto"/>
              <w:spacing w:line="240" w:lineRule="auto"/>
              <w:ind w:firstLine="321"/>
              <w:jc w:val="both"/>
              <w:rPr>
                <w:rFonts w:ascii="Times New Roman" w:hAnsi="Times New Roman" w:cs="Times New Roman"/>
                <w:b w:val="0"/>
                <w:i w:val="0"/>
                <w:sz w:val="24"/>
                <w:szCs w:val="24"/>
              </w:rPr>
            </w:pPr>
            <w:r w:rsidRPr="00BD765C">
              <w:rPr>
                <w:rFonts w:ascii="Times New Roman" w:hAnsi="Times New Roman" w:cs="Times New Roman"/>
                <w:b w:val="0"/>
                <w:i w:val="0"/>
                <w:sz w:val="24"/>
                <w:szCs w:val="24"/>
              </w:rPr>
              <w:t>A bimetallic bronze Cu-Cr-</w:t>
            </w:r>
            <w:proofErr w:type="spellStart"/>
            <w:r w:rsidRPr="00BD765C">
              <w:rPr>
                <w:rFonts w:ascii="Times New Roman" w:hAnsi="Times New Roman" w:cs="Times New Roman"/>
                <w:b w:val="0"/>
                <w:i w:val="0"/>
                <w:sz w:val="24"/>
                <w:szCs w:val="24"/>
              </w:rPr>
              <w:t>Zr</w:t>
            </w:r>
            <w:proofErr w:type="spellEnd"/>
            <w:r w:rsidRPr="00BD765C">
              <w:rPr>
                <w:rFonts w:ascii="Times New Roman" w:hAnsi="Times New Roman" w:cs="Times New Roman"/>
                <w:b w:val="0"/>
                <w:i w:val="0"/>
                <w:sz w:val="24"/>
                <w:szCs w:val="24"/>
              </w:rPr>
              <w:t xml:space="preserve"> / steel 316L heat exchanger of the first ITER wall is a complicated design with internal chambers and cooling channels (Fig</w:t>
            </w:r>
            <w:r w:rsidR="00BD765C">
              <w:rPr>
                <w:rFonts w:ascii="Times New Roman" w:hAnsi="Times New Roman" w:cs="Times New Roman"/>
                <w:b w:val="0"/>
                <w:i w:val="0"/>
                <w:sz w:val="24"/>
                <w:szCs w:val="24"/>
              </w:rPr>
              <w:t>.4</w:t>
            </w:r>
            <w:r w:rsidRPr="00BD765C">
              <w:rPr>
                <w:rFonts w:ascii="Times New Roman" w:hAnsi="Times New Roman" w:cs="Times New Roman"/>
                <w:b w:val="0"/>
                <w:i w:val="0"/>
                <w:sz w:val="24"/>
                <w:szCs w:val="24"/>
              </w:rPr>
              <w:t>).</w:t>
            </w:r>
          </w:p>
          <w:p w:rsidR="00BD765C" w:rsidRDefault="00BD765C" w:rsidP="00BD765C">
            <w:pPr>
              <w:pStyle w:val="22"/>
              <w:shd w:val="clear" w:color="auto" w:fill="auto"/>
              <w:spacing w:line="240" w:lineRule="auto"/>
              <w:ind w:firstLine="321"/>
              <w:jc w:val="both"/>
              <w:rPr>
                <w:rFonts w:ascii="Times New Roman" w:hAnsi="Times New Roman" w:cs="Times New Roman"/>
                <w:b w:val="0"/>
                <w:i w:val="0"/>
                <w:sz w:val="24"/>
                <w:szCs w:val="24"/>
              </w:rPr>
            </w:pPr>
          </w:p>
          <w:p w:rsidR="00BD765C" w:rsidRPr="00BD765C" w:rsidRDefault="00BD765C" w:rsidP="00BD765C">
            <w:pPr>
              <w:pStyle w:val="22"/>
              <w:shd w:val="clear" w:color="auto" w:fill="auto"/>
              <w:spacing w:line="240" w:lineRule="auto"/>
              <w:ind w:firstLine="321"/>
              <w:jc w:val="both"/>
              <w:rPr>
                <w:rFonts w:ascii="Times New Roman" w:hAnsi="Times New Roman" w:cs="Times New Roman"/>
                <w:b w:val="0"/>
                <w:i w:val="0"/>
                <w:sz w:val="24"/>
                <w:szCs w:val="24"/>
              </w:rPr>
            </w:pPr>
          </w:p>
        </w:tc>
        <w:tc>
          <w:tcPr>
            <w:tcW w:w="4837" w:type="dxa"/>
          </w:tcPr>
          <w:p w:rsidR="005E794F" w:rsidRPr="00BD765C" w:rsidRDefault="005E794F" w:rsidP="00BD765C">
            <w:pPr>
              <w:pStyle w:val="22"/>
              <w:shd w:val="clear" w:color="auto" w:fill="auto"/>
              <w:spacing w:line="240" w:lineRule="auto"/>
              <w:ind w:firstLine="0"/>
              <w:jc w:val="center"/>
              <w:rPr>
                <w:rFonts w:ascii="Times New Roman" w:hAnsi="Times New Roman" w:cs="Times New Roman"/>
                <w:b w:val="0"/>
                <w:i w:val="0"/>
                <w:sz w:val="24"/>
                <w:szCs w:val="24"/>
              </w:rPr>
            </w:pPr>
          </w:p>
        </w:tc>
      </w:tr>
      <w:tr w:rsidR="005E794F" w:rsidRPr="00BD765C" w:rsidTr="0065512F">
        <w:tc>
          <w:tcPr>
            <w:tcW w:w="4508" w:type="dxa"/>
          </w:tcPr>
          <w:p w:rsidR="005E794F" w:rsidRDefault="005E794F" w:rsidP="00BD765C">
            <w:pPr>
              <w:pStyle w:val="22"/>
              <w:shd w:val="clear" w:color="auto" w:fill="auto"/>
              <w:spacing w:line="240" w:lineRule="auto"/>
              <w:ind w:firstLine="0"/>
              <w:jc w:val="center"/>
              <w:rPr>
                <w:rFonts w:ascii="Times New Roman" w:hAnsi="Times New Roman" w:cs="Times New Roman"/>
                <w:b w:val="0"/>
                <w:i w:val="0"/>
                <w:sz w:val="24"/>
                <w:szCs w:val="24"/>
              </w:rPr>
            </w:pPr>
            <w:r w:rsidRPr="00BD765C">
              <w:rPr>
                <w:rFonts w:ascii="Times New Roman" w:hAnsi="Times New Roman" w:cs="Times New Roman"/>
                <w:b w:val="0"/>
                <w:i w:val="0"/>
                <w:noProof/>
                <w:sz w:val="24"/>
                <w:szCs w:val="24"/>
                <w:lang w:val="ru-RU" w:eastAsia="ru-RU"/>
              </w:rPr>
              <w:drawing>
                <wp:inline distT="0" distB="0" distL="0" distR="0" wp14:anchorId="7ED45402" wp14:editId="32A7CFBB">
                  <wp:extent cx="2576494" cy="84772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 4а ГИП.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06078" cy="857459"/>
                          </a:xfrm>
                          <a:prstGeom prst="rect">
                            <a:avLst/>
                          </a:prstGeom>
                        </pic:spPr>
                      </pic:pic>
                    </a:graphicData>
                  </a:graphic>
                </wp:inline>
              </w:drawing>
            </w:r>
            <w:r w:rsidRPr="00BD765C">
              <w:rPr>
                <w:rFonts w:ascii="Times New Roman" w:hAnsi="Times New Roman" w:cs="Times New Roman"/>
                <w:b w:val="0"/>
                <w:i w:val="0"/>
                <w:sz w:val="24"/>
                <w:szCs w:val="24"/>
              </w:rPr>
              <w:t xml:space="preserve"> а</w:t>
            </w:r>
          </w:p>
          <w:p w:rsidR="00BD765C" w:rsidRPr="00BD765C" w:rsidRDefault="00BD765C" w:rsidP="00BD765C">
            <w:pPr>
              <w:pStyle w:val="22"/>
              <w:shd w:val="clear" w:color="auto" w:fill="auto"/>
              <w:spacing w:line="240" w:lineRule="auto"/>
              <w:ind w:firstLine="0"/>
              <w:jc w:val="center"/>
              <w:rPr>
                <w:rFonts w:ascii="Times New Roman" w:hAnsi="Times New Roman" w:cs="Times New Roman"/>
                <w:b w:val="0"/>
                <w:i w:val="0"/>
                <w:noProof/>
                <w:sz w:val="24"/>
                <w:szCs w:val="24"/>
                <w:lang w:eastAsia="ru-RU"/>
              </w:rPr>
            </w:pPr>
          </w:p>
        </w:tc>
        <w:tc>
          <w:tcPr>
            <w:tcW w:w="4837" w:type="dxa"/>
          </w:tcPr>
          <w:p w:rsidR="005E794F" w:rsidRPr="00BD765C" w:rsidRDefault="005E794F" w:rsidP="00BD765C">
            <w:pPr>
              <w:pStyle w:val="22"/>
              <w:shd w:val="clear" w:color="auto" w:fill="auto"/>
              <w:spacing w:line="240" w:lineRule="auto"/>
              <w:ind w:firstLine="0"/>
              <w:jc w:val="center"/>
              <w:rPr>
                <w:rFonts w:ascii="Times New Roman" w:hAnsi="Times New Roman" w:cs="Times New Roman"/>
                <w:noProof/>
                <w:sz w:val="24"/>
                <w:szCs w:val="24"/>
                <w:lang w:eastAsia="ru-RU"/>
              </w:rPr>
            </w:pPr>
          </w:p>
        </w:tc>
      </w:tr>
      <w:tr w:rsidR="005E794F" w:rsidRPr="00BD765C" w:rsidTr="0065512F">
        <w:tc>
          <w:tcPr>
            <w:tcW w:w="4508" w:type="dxa"/>
          </w:tcPr>
          <w:p w:rsidR="005E794F" w:rsidRDefault="005E794F" w:rsidP="00BD765C">
            <w:pPr>
              <w:pStyle w:val="22"/>
              <w:shd w:val="clear" w:color="auto" w:fill="auto"/>
              <w:spacing w:line="240" w:lineRule="auto"/>
              <w:ind w:firstLine="0"/>
              <w:jc w:val="center"/>
              <w:rPr>
                <w:rFonts w:ascii="Times New Roman" w:hAnsi="Times New Roman" w:cs="Times New Roman"/>
                <w:b w:val="0"/>
                <w:i w:val="0"/>
                <w:sz w:val="24"/>
                <w:szCs w:val="24"/>
              </w:rPr>
            </w:pPr>
            <w:r w:rsidRPr="00BD765C">
              <w:rPr>
                <w:rFonts w:ascii="Times New Roman" w:hAnsi="Times New Roman" w:cs="Times New Roman"/>
                <w:b w:val="0"/>
                <w:i w:val="0"/>
                <w:noProof/>
                <w:sz w:val="24"/>
                <w:szCs w:val="24"/>
                <w:lang w:val="ru-RU" w:eastAsia="ru-RU"/>
              </w:rPr>
              <w:drawing>
                <wp:inline distT="0" distB="0" distL="0" distR="0" wp14:anchorId="65346B42" wp14:editId="2703BFF5">
                  <wp:extent cx="2440547" cy="929794"/>
                  <wp:effectExtent l="0" t="0" r="0" b="381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макет 1 ст ИТЭР.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06857" cy="955057"/>
                          </a:xfrm>
                          <a:prstGeom prst="rect">
                            <a:avLst/>
                          </a:prstGeom>
                        </pic:spPr>
                      </pic:pic>
                    </a:graphicData>
                  </a:graphic>
                </wp:inline>
              </w:drawing>
            </w:r>
            <w:r w:rsidRPr="00BD765C">
              <w:rPr>
                <w:rFonts w:ascii="Times New Roman" w:hAnsi="Times New Roman" w:cs="Times New Roman"/>
                <w:b w:val="0"/>
                <w:i w:val="0"/>
                <w:sz w:val="24"/>
                <w:szCs w:val="24"/>
              </w:rPr>
              <w:t xml:space="preserve"> b</w:t>
            </w:r>
          </w:p>
          <w:p w:rsidR="00BD765C" w:rsidRPr="00BD765C" w:rsidRDefault="00BD765C" w:rsidP="00BD765C">
            <w:pPr>
              <w:pStyle w:val="22"/>
              <w:shd w:val="clear" w:color="auto" w:fill="auto"/>
              <w:spacing w:line="240" w:lineRule="auto"/>
              <w:ind w:firstLine="0"/>
              <w:jc w:val="center"/>
              <w:rPr>
                <w:rFonts w:ascii="Times New Roman" w:hAnsi="Times New Roman" w:cs="Times New Roman"/>
                <w:b w:val="0"/>
                <w:i w:val="0"/>
                <w:noProof/>
                <w:sz w:val="24"/>
                <w:szCs w:val="24"/>
                <w:lang w:eastAsia="ru-RU"/>
              </w:rPr>
            </w:pPr>
          </w:p>
        </w:tc>
        <w:tc>
          <w:tcPr>
            <w:tcW w:w="4837" w:type="dxa"/>
          </w:tcPr>
          <w:p w:rsidR="005E794F" w:rsidRPr="00BD765C" w:rsidRDefault="005E794F" w:rsidP="00BD765C">
            <w:pPr>
              <w:pStyle w:val="22"/>
              <w:shd w:val="clear" w:color="auto" w:fill="auto"/>
              <w:spacing w:line="240" w:lineRule="auto"/>
              <w:ind w:firstLine="0"/>
              <w:jc w:val="center"/>
              <w:rPr>
                <w:rFonts w:ascii="Times New Roman" w:hAnsi="Times New Roman" w:cs="Times New Roman"/>
                <w:noProof/>
                <w:sz w:val="24"/>
                <w:szCs w:val="24"/>
                <w:lang w:eastAsia="ru-RU"/>
              </w:rPr>
            </w:pPr>
          </w:p>
        </w:tc>
      </w:tr>
      <w:tr w:rsidR="005E794F" w:rsidRPr="00BD765C" w:rsidTr="0065512F">
        <w:tc>
          <w:tcPr>
            <w:tcW w:w="4508" w:type="dxa"/>
          </w:tcPr>
          <w:p w:rsidR="005E794F" w:rsidRPr="00BD765C" w:rsidRDefault="005E794F" w:rsidP="00BD765C">
            <w:pPr>
              <w:adjustRightInd w:val="0"/>
              <w:jc w:val="both"/>
              <w:rPr>
                <w:rFonts w:ascii="Times New Roman" w:hAnsi="Times New Roman" w:cs="Times New Roman"/>
                <w:b/>
                <w:i/>
                <w:noProof/>
                <w:sz w:val="24"/>
                <w:szCs w:val="24"/>
                <w:lang w:val="en-US" w:eastAsia="ru-RU"/>
              </w:rPr>
            </w:pPr>
            <w:r w:rsidRPr="00BD765C">
              <w:rPr>
                <w:rFonts w:ascii="Times New Roman" w:hAnsi="Times New Roman" w:cs="Times New Roman"/>
                <w:sz w:val="24"/>
                <w:szCs w:val="24"/>
                <w:lang w:val="en-US"/>
              </w:rPr>
              <w:t>Fig</w:t>
            </w:r>
            <w:r w:rsidR="00BD765C">
              <w:rPr>
                <w:rFonts w:ascii="Times New Roman" w:hAnsi="Times New Roman" w:cs="Times New Roman"/>
                <w:sz w:val="24"/>
                <w:szCs w:val="24"/>
                <w:lang w:val="en-US"/>
              </w:rPr>
              <w:t>.</w:t>
            </w:r>
            <w:r w:rsidRPr="00BD765C">
              <w:rPr>
                <w:rFonts w:ascii="Times New Roman" w:hAnsi="Times New Roman" w:cs="Times New Roman"/>
                <w:sz w:val="24"/>
                <w:szCs w:val="24"/>
                <w:lang w:val="en-US"/>
              </w:rPr>
              <w:t>4 – The models of bimetallic bronze Cu-Cr-</w:t>
            </w:r>
            <w:proofErr w:type="spellStart"/>
            <w:r w:rsidRPr="00BD765C">
              <w:rPr>
                <w:rFonts w:ascii="Times New Roman" w:hAnsi="Times New Roman" w:cs="Times New Roman"/>
                <w:sz w:val="24"/>
                <w:szCs w:val="24"/>
                <w:lang w:val="en-US"/>
              </w:rPr>
              <w:t>Zr</w:t>
            </w:r>
            <w:proofErr w:type="spellEnd"/>
            <w:r w:rsidRPr="00BD765C">
              <w:rPr>
                <w:rFonts w:ascii="Times New Roman" w:hAnsi="Times New Roman" w:cs="Times New Roman"/>
                <w:sz w:val="24"/>
                <w:szCs w:val="24"/>
                <w:lang w:val="en-US"/>
              </w:rPr>
              <w:t xml:space="preserve"> / steel 316L heat exchanger of the first ITER wall with internal chambers (a) and cooling channels (b) [4]</w:t>
            </w:r>
          </w:p>
        </w:tc>
        <w:tc>
          <w:tcPr>
            <w:tcW w:w="4837" w:type="dxa"/>
          </w:tcPr>
          <w:p w:rsidR="005E794F" w:rsidRPr="00BD765C" w:rsidRDefault="005E794F" w:rsidP="00BD765C">
            <w:pPr>
              <w:pStyle w:val="22"/>
              <w:shd w:val="clear" w:color="auto" w:fill="auto"/>
              <w:spacing w:line="240" w:lineRule="auto"/>
              <w:ind w:left="175" w:firstLine="0"/>
              <w:jc w:val="both"/>
              <w:rPr>
                <w:rFonts w:ascii="Times New Roman" w:hAnsi="Times New Roman" w:cs="Times New Roman"/>
                <w:noProof/>
                <w:sz w:val="24"/>
                <w:szCs w:val="24"/>
                <w:lang w:eastAsia="ru-RU"/>
              </w:rPr>
            </w:pPr>
            <w:r w:rsidRPr="00BD765C">
              <w:rPr>
                <w:rFonts w:ascii="Times New Roman" w:hAnsi="Times New Roman" w:cs="Times New Roman"/>
                <w:b w:val="0"/>
                <w:i w:val="0"/>
                <w:sz w:val="24"/>
                <w:szCs w:val="24"/>
              </w:rPr>
              <w:t>Fig</w:t>
            </w:r>
            <w:r w:rsidR="00BD765C">
              <w:rPr>
                <w:rFonts w:ascii="Times New Roman" w:hAnsi="Times New Roman" w:cs="Times New Roman"/>
                <w:b w:val="0"/>
                <w:i w:val="0"/>
                <w:sz w:val="24"/>
                <w:szCs w:val="24"/>
              </w:rPr>
              <w:t>.</w:t>
            </w:r>
            <w:r w:rsidRPr="00BD765C">
              <w:rPr>
                <w:rFonts w:ascii="Times New Roman" w:hAnsi="Times New Roman" w:cs="Times New Roman"/>
                <w:b w:val="0"/>
                <w:i w:val="0"/>
                <w:sz w:val="24"/>
                <w:szCs w:val="24"/>
              </w:rPr>
              <w:t>5 – Typical electron micrograph of bronze/SS HIP DW joint, pink line shows the region of alloying element spectrum</w:t>
            </w:r>
          </w:p>
        </w:tc>
      </w:tr>
    </w:tbl>
    <w:p w:rsidR="005E794F" w:rsidRPr="00BD765C" w:rsidRDefault="005E794F" w:rsidP="00BD765C">
      <w:pPr>
        <w:adjustRightInd w:val="0"/>
        <w:ind w:firstLine="709"/>
        <w:jc w:val="both"/>
        <w:rPr>
          <w:sz w:val="24"/>
          <w:szCs w:val="24"/>
          <w:lang w:val="en-US"/>
        </w:rPr>
      </w:pPr>
    </w:p>
    <w:p w:rsidR="005E794F" w:rsidRPr="00BD765C" w:rsidRDefault="005E794F" w:rsidP="00BD765C">
      <w:pPr>
        <w:adjustRightInd w:val="0"/>
        <w:ind w:firstLine="284"/>
        <w:jc w:val="both"/>
        <w:rPr>
          <w:sz w:val="24"/>
          <w:szCs w:val="24"/>
          <w:lang w:val="en-US"/>
        </w:rPr>
      </w:pPr>
      <w:r w:rsidRPr="00BD765C">
        <w:rPr>
          <w:sz w:val="24"/>
          <w:szCs w:val="24"/>
          <w:lang w:val="en-US"/>
        </w:rPr>
        <w:lastRenderedPageBreak/>
        <w:t>Various welding processes for making pressure-tight contact surfaces of assembly parts prior to HIP are tested: manual argon-arc fusion welding; electron beam welding and automatic laser welding; the vacuum brazing and generally accepted one with the use of the capsule. Microstructure of the transitional layer of the HIP DW bronze-to-steel joint has much the same character despite the area and curvature of the contact surface. Thickness of a visible transitional layer is about 7μm. A chemical composition of this layer contains elements characteristic of both for steel and bronze, and the chrome content here is higher than in the steel. The diffusion depth of copper into the steel reaches 30μm beyond the transitional layer boundary. Diffusion depths of iron, nickel and chromium from steel into bronze are 50-100</w:t>
      </w:r>
      <w:r w:rsidRPr="00BD765C">
        <w:rPr>
          <w:sz w:val="24"/>
          <w:szCs w:val="24"/>
        </w:rPr>
        <w:t>μ</w:t>
      </w:r>
      <w:r w:rsidRPr="00BD765C">
        <w:rPr>
          <w:sz w:val="24"/>
          <w:szCs w:val="24"/>
          <w:lang w:val="en-US"/>
        </w:rPr>
        <w:t>m, 40-60</w:t>
      </w:r>
      <w:r w:rsidRPr="00BD765C">
        <w:rPr>
          <w:sz w:val="24"/>
          <w:szCs w:val="24"/>
        </w:rPr>
        <w:t>μ</w:t>
      </w:r>
      <w:r w:rsidRPr="00BD765C">
        <w:rPr>
          <w:sz w:val="24"/>
          <w:szCs w:val="24"/>
          <w:lang w:val="en-US"/>
        </w:rPr>
        <w:t>m and 5-7</w:t>
      </w:r>
      <w:r w:rsidRPr="00BD765C">
        <w:rPr>
          <w:sz w:val="24"/>
          <w:szCs w:val="24"/>
        </w:rPr>
        <w:t>μ</w:t>
      </w:r>
      <w:r w:rsidRPr="00BD765C">
        <w:rPr>
          <w:sz w:val="24"/>
          <w:szCs w:val="24"/>
          <w:lang w:val="en-US"/>
        </w:rPr>
        <w:t>m, correspondingly. In bronze, at a distance of 1-3</w:t>
      </w:r>
      <w:r w:rsidRPr="00BD765C">
        <w:rPr>
          <w:sz w:val="24"/>
          <w:szCs w:val="24"/>
        </w:rPr>
        <w:t>μ</w:t>
      </w:r>
      <w:r w:rsidRPr="00BD765C">
        <w:rPr>
          <w:sz w:val="24"/>
          <w:szCs w:val="24"/>
          <w:lang w:val="en-US"/>
        </w:rPr>
        <w:t>m from the transitional layer boundary a chain of inclusions takes place of up to 1</w:t>
      </w:r>
      <w:r w:rsidRPr="00BD765C">
        <w:rPr>
          <w:sz w:val="24"/>
          <w:szCs w:val="24"/>
        </w:rPr>
        <w:t>μ</w:t>
      </w:r>
      <w:r w:rsidRPr="00BD765C">
        <w:rPr>
          <w:sz w:val="24"/>
          <w:szCs w:val="24"/>
          <w:lang w:val="en-US"/>
        </w:rPr>
        <w:t>m and increased zirconium content, the nature of its formation being not determined (Fig</w:t>
      </w:r>
      <w:r w:rsidR="00BD765C">
        <w:rPr>
          <w:sz w:val="24"/>
          <w:szCs w:val="24"/>
          <w:lang w:val="en-US"/>
        </w:rPr>
        <w:t>.</w:t>
      </w:r>
      <w:r w:rsidRPr="00BD765C">
        <w:rPr>
          <w:sz w:val="24"/>
          <w:szCs w:val="24"/>
          <w:lang w:val="en-US"/>
        </w:rPr>
        <w:t>5).</w:t>
      </w:r>
      <w:r w:rsidR="00BD765C">
        <w:rPr>
          <w:sz w:val="24"/>
          <w:szCs w:val="24"/>
          <w:lang w:val="en-US"/>
        </w:rPr>
        <w:t xml:space="preserve"> </w:t>
      </w:r>
      <w:r w:rsidRPr="00BD765C">
        <w:rPr>
          <w:sz w:val="24"/>
          <w:szCs w:val="24"/>
          <w:lang w:val="en-US"/>
        </w:rPr>
        <w:t>The post-HIP model of the first ITER wall was subjected to heat treatment in bronze standard mode: water hardening from temperature 980°C with the subsequent aging. Rapid water hardening did not lead to discontinuity of the DW bimetallic joint. Failure of bimetallic tension specimens takes place on the base metal of bronze. Average values of the room temperature tensile strength are over the range of 398-457 MPa, and at a temperature of 250</w:t>
      </w:r>
      <w:r w:rsidRPr="00BD765C">
        <w:rPr>
          <w:sz w:val="24"/>
          <w:szCs w:val="24"/>
          <w:vertAlign w:val="superscript"/>
          <w:lang w:val="en-US"/>
        </w:rPr>
        <w:t>0</w:t>
      </w:r>
      <w:r w:rsidRPr="00BD765C">
        <w:rPr>
          <w:sz w:val="24"/>
          <w:szCs w:val="24"/>
          <w:lang w:val="en-US"/>
        </w:rPr>
        <w:t>C are within 330-370 MPa.</w:t>
      </w:r>
    </w:p>
    <w:p w:rsidR="005E794F" w:rsidRPr="00BD765C" w:rsidRDefault="005E794F" w:rsidP="00BD765C">
      <w:pPr>
        <w:adjustRightInd w:val="0"/>
        <w:spacing w:before="120"/>
        <w:ind w:firstLine="284"/>
        <w:rPr>
          <w:i/>
          <w:sz w:val="24"/>
          <w:szCs w:val="24"/>
          <w:lang w:val="en-US"/>
        </w:rPr>
      </w:pPr>
      <w:r w:rsidRPr="00BD765C">
        <w:rPr>
          <w:i/>
          <w:sz w:val="24"/>
          <w:szCs w:val="24"/>
          <w:lang w:val="en-US"/>
        </w:rPr>
        <w:t>Copper-to-stainless steel HIP Diffusion Bonding</w:t>
      </w:r>
    </w:p>
    <w:p w:rsidR="005E794F" w:rsidRPr="00BD765C" w:rsidRDefault="005E794F" w:rsidP="00BD765C">
      <w:pPr>
        <w:tabs>
          <w:tab w:val="left" w:pos="3270"/>
        </w:tabs>
        <w:spacing w:before="120"/>
        <w:ind w:firstLine="284"/>
        <w:jc w:val="both"/>
        <w:rPr>
          <w:sz w:val="24"/>
          <w:szCs w:val="24"/>
          <w:lang w:val="en-US"/>
        </w:rPr>
      </w:pPr>
      <w:r w:rsidRPr="00BD765C">
        <w:rPr>
          <w:sz w:val="24"/>
          <w:szCs w:val="24"/>
          <w:lang w:val="en-US"/>
        </w:rPr>
        <w:t>Copper-to-stainless steel adapters (Fig</w:t>
      </w:r>
      <w:r w:rsidR="00BD765C">
        <w:rPr>
          <w:sz w:val="24"/>
          <w:szCs w:val="24"/>
          <w:lang w:val="en-US"/>
        </w:rPr>
        <w:t>.</w:t>
      </w:r>
      <w:r w:rsidRPr="00BD765C">
        <w:rPr>
          <w:sz w:val="24"/>
          <w:szCs w:val="24"/>
          <w:lang w:val="en-US"/>
        </w:rPr>
        <w:t>6a) were made of 100 mm-diameter HIP DW-bimetallic bar-piece blanks followed by machining. The capsules each have 4 pairs of the piece blanks. The analysis of the microstructure testifies that the transitional layer of the HIP copper-to-stainless steel diffusion bonding has 100% density, and essential grain grinding is observed on the steel side (Fig</w:t>
      </w:r>
      <w:r w:rsidR="00BD765C">
        <w:rPr>
          <w:sz w:val="24"/>
          <w:szCs w:val="24"/>
          <w:lang w:val="en-US"/>
        </w:rPr>
        <w:t>.</w:t>
      </w:r>
      <w:r w:rsidRPr="00BD765C">
        <w:rPr>
          <w:sz w:val="24"/>
          <w:szCs w:val="24"/>
          <w:lang w:val="en-US"/>
        </w:rPr>
        <w:t>6b). Bending test of a 7x30x80-mm test piece cut from the bimetallic blank did not lead to its failure (Fig</w:t>
      </w:r>
      <w:r w:rsidR="00BD765C">
        <w:rPr>
          <w:sz w:val="24"/>
          <w:szCs w:val="24"/>
          <w:lang w:val="en-US"/>
        </w:rPr>
        <w:t>.</w:t>
      </w:r>
      <w:r w:rsidRPr="00BD765C">
        <w:rPr>
          <w:sz w:val="24"/>
          <w:szCs w:val="24"/>
          <w:lang w:val="en-US"/>
        </w:rPr>
        <w:t>6</w:t>
      </w:r>
      <w:r w:rsidRPr="00BD765C">
        <w:rPr>
          <w:sz w:val="24"/>
          <w:szCs w:val="24"/>
        </w:rPr>
        <w:t>с</w:t>
      </w:r>
      <w:r w:rsidRPr="00BD765C">
        <w:rPr>
          <w:sz w:val="24"/>
          <w:szCs w:val="24"/>
          <w:lang w:val="en-US"/>
        </w:rPr>
        <w:t>)</w:t>
      </w: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0"/>
        <w:gridCol w:w="3133"/>
        <w:gridCol w:w="3117"/>
      </w:tblGrid>
      <w:tr w:rsidR="005E794F" w:rsidRPr="00BD765C" w:rsidTr="0065512F">
        <w:tc>
          <w:tcPr>
            <w:tcW w:w="3190" w:type="dxa"/>
          </w:tcPr>
          <w:p w:rsidR="005E794F" w:rsidRPr="00BD765C" w:rsidRDefault="005E794F" w:rsidP="00BD765C">
            <w:pPr>
              <w:pStyle w:val="20"/>
              <w:shd w:val="clear" w:color="auto" w:fill="auto"/>
              <w:spacing w:before="120" w:line="240" w:lineRule="auto"/>
              <w:ind w:firstLine="0"/>
              <w:rPr>
                <w:rFonts w:ascii="Times New Roman" w:hAnsi="Times New Roman" w:cs="Times New Roman"/>
                <w:color w:val="000000"/>
                <w:sz w:val="24"/>
                <w:szCs w:val="24"/>
                <w:lang w:eastAsia="ru-RU" w:bidi="ru-RU"/>
              </w:rPr>
            </w:pPr>
            <w:r w:rsidRPr="00BD765C">
              <w:rPr>
                <w:rFonts w:ascii="Times New Roman" w:hAnsi="Times New Roman" w:cs="Times New Roman"/>
                <w:noProof/>
                <w:sz w:val="24"/>
                <w:szCs w:val="24"/>
                <w:lang w:val="ru-RU" w:eastAsia="ru-RU"/>
              </w:rPr>
              <w:drawing>
                <wp:inline distT="0" distB="0" distL="0" distR="0" wp14:anchorId="55E7F2F1" wp14:editId="3E5FF8B1">
                  <wp:extent cx="1191295" cy="1125743"/>
                  <wp:effectExtent l="0" t="0" r="889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ГИП рис 6а.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02903" cy="1136713"/>
                          </a:xfrm>
                          <a:prstGeom prst="rect">
                            <a:avLst/>
                          </a:prstGeom>
                        </pic:spPr>
                      </pic:pic>
                    </a:graphicData>
                  </a:graphic>
                </wp:inline>
              </w:drawing>
            </w:r>
            <w:r w:rsidRPr="00BD765C">
              <w:rPr>
                <w:rFonts w:ascii="Times New Roman" w:hAnsi="Times New Roman" w:cs="Times New Roman"/>
                <w:color w:val="000000"/>
                <w:sz w:val="24"/>
                <w:szCs w:val="24"/>
                <w:lang w:eastAsia="ru-RU" w:bidi="ru-RU"/>
              </w:rPr>
              <w:t xml:space="preserve"> a</w:t>
            </w:r>
          </w:p>
        </w:tc>
        <w:tc>
          <w:tcPr>
            <w:tcW w:w="3190" w:type="dxa"/>
          </w:tcPr>
          <w:p w:rsidR="005E794F" w:rsidRPr="00BD765C" w:rsidRDefault="005E794F" w:rsidP="00BD765C">
            <w:pPr>
              <w:pStyle w:val="20"/>
              <w:shd w:val="clear" w:color="auto" w:fill="auto"/>
              <w:spacing w:before="120" w:line="240" w:lineRule="auto"/>
              <w:ind w:firstLine="0"/>
              <w:rPr>
                <w:rFonts w:ascii="Times New Roman" w:hAnsi="Times New Roman" w:cs="Times New Roman"/>
                <w:color w:val="000000"/>
                <w:sz w:val="24"/>
                <w:szCs w:val="24"/>
                <w:lang w:eastAsia="ru-RU" w:bidi="ru-RU"/>
              </w:rPr>
            </w:pPr>
            <w:r w:rsidRPr="00BD765C">
              <w:rPr>
                <w:rFonts w:ascii="Times New Roman" w:hAnsi="Times New Roman" w:cs="Times New Roman"/>
                <w:noProof/>
                <w:sz w:val="24"/>
                <w:szCs w:val="24"/>
                <w:lang w:val="ru-RU" w:eastAsia="ru-RU"/>
              </w:rPr>
              <w:drawing>
                <wp:inline distT="0" distB="0" distL="0" distR="0" wp14:anchorId="02D482C9" wp14:editId="2DA9FC63">
                  <wp:extent cx="1397357" cy="110629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ГИП БМ рис 6б.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99671" cy="1108122"/>
                          </a:xfrm>
                          <a:prstGeom prst="rect">
                            <a:avLst/>
                          </a:prstGeom>
                        </pic:spPr>
                      </pic:pic>
                    </a:graphicData>
                  </a:graphic>
                </wp:inline>
              </w:drawing>
            </w:r>
            <w:r w:rsidRPr="00BD765C">
              <w:rPr>
                <w:rFonts w:ascii="Times New Roman" w:hAnsi="Times New Roman" w:cs="Times New Roman"/>
                <w:color w:val="000000"/>
                <w:sz w:val="24"/>
                <w:szCs w:val="24"/>
                <w:lang w:eastAsia="ru-RU" w:bidi="ru-RU"/>
              </w:rPr>
              <w:t xml:space="preserve"> b</w:t>
            </w:r>
          </w:p>
        </w:tc>
        <w:tc>
          <w:tcPr>
            <w:tcW w:w="3191" w:type="dxa"/>
          </w:tcPr>
          <w:p w:rsidR="005E794F" w:rsidRPr="00BD765C" w:rsidRDefault="005E794F" w:rsidP="00BD765C">
            <w:pPr>
              <w:pStyle w:val="20"/>
              <w:shd w:val="clear" w:color="auto" w:fill="auto"/>
              <w:spacing w:before="120" w:line="240" w:lineRule="auto"/>
              <w:ind w:firstLine="0"/>
              <w:rPr>
                <w:rFonts w:ascii="Times New Roman" w:hAnsi="Times New Roman" w:cs="Times New Roman"/>
                <w:color w:val="000000"/>
                <w:sz w:val="24"/>
                <w:szCs w:val="24"/>
                <w:lang w:eastAsia="ru-RU" w:bidi="ru-RU"/>
              </w:rPr>
            </w:pPr>
            <w:r w:rsidRPr="00BD765C">
              <w:rPr>
                <w:rFonts w:ascii="Times New Roman" w:hAnsi="Times New Roman" w:cs="Times New Roman"/>
                <w:noProof/>
                <w:sz w:val="24"/>
                <w:szCs w:val="24"/>
                <w:lang w:val="ru-RU" w:eastAsia="ru-RU"/>
              </w:rPr>
              <w:drawing>
                <wp:inline distT="0" distB="0" distL="0" distR="0" wp14:anchorId="6D44319D" wp14:editId="6C304819">
                  <wp:extent cx="1245510" cy="1102082"/>
                  <wp:effectExtent l="0" t="0" r="0" b="317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ГИП БМ рис 6в.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61022" cy="1115807"/>
                          </a:xfrm>
                          <a:prstGeom prst="rect">
                            <a:avLst/>
                          </a:prstGeom>
                        </pic:spPr>
                      </pic:pic>
                    </a:graphicData>
                  </a:graphic>
                </wp:inline>
              </w:drawing>
            </w:r>
            <w:r w:rsidRPr="00BD765C">
              <w:rPr>
                <w:rFonts w:ascii="Times New Roman" w:hAnsi="Times New Roman" w:cs="Times New Roman"/>
                <w:color w:val="000000"/>
                <w:sz w:val="24"/>
                <w:szCs w:val="24"/>
                <w:lang w:eastAsia="ru-RU" w:bidi="ru-RU"/>
              </w:rPr>
              <w:t>.c</w:t>
            </w:r>
          </w:p>
        </w:tc>
      </w:tr>
    </w:tbl>
    <w:p w:rsidR="005E794F" w:rsidRPr="00BD765C" w:rsidRDefault="005E794F" w:rsidP="00BD765C">
      <w:pPr>
        <w:adjustRightInd w:val="0"/>
        <w:spacing w:before="120"/>
        <w:ind w:firstLine="284"/>
        <w:jc w:val="both"/>
        <w:rPr>
          <w:sz w:val="24"/>
          <w:szCs w:val="24"/>
          <w:lang w:val="en-US"/>
        </w:rPr>
      </w:pPr>
      <w:r w:rsidRPr="00BD765C">
        <w:rPr>
          <w:sz w:val="24"/>
          <w:szCs w:val="24"/>
          <w:lang w:val="en-US"/>
        </w:rPr>
        <w:t>Fig</w:t>
      </w:r>
      <w:r w:rsidR="00BD765C">
        <w:rPr>
          <w:sz w:val="24"/>
          <w:szCs w:val="24"/>
          <w:lang w:val="en-US"/>
        </w:rPr>
        <w:t>.</w:t>
      </w:r>
      <w:r w:rsidRPr="00BD765C">
        <w:rPr>
          <w:sz w:val="24"/>
          <w:szCs w:val="24"/>
          <w:lang w:val="en-US"/>
        </w:rPr>
        <w:t>6 – Copper-to-stainless steel adapter (a); micrograph of the transitional layer (b); a 7x30x80-mm test piece before and after bending tests (c) [4].</w:t>
      </w:r>
    </w:p>
    <w:p w:rsidR="005E794F" w:rsidRPr="0022581B" w:rsidRDefault="005E794F" w:rsidP="0022581B">
      <w:pPr>
        <w:adjustRightInd w:val="0"/>
        <w:spacing w:before="120"/>
        <w:ind w:firstLine="284"/>
        <w:rPr>
          <w:i/>
          <w:sz w:val="24"/>
          <w:szCs w:val="24"/>
          <w:lang w:val="en-US"/>
        </w:rPr>
      </w:pPr>
      <w:r w:rsidRPr="0022581B">
        <w:rPr>
          <w:i/>
          <w:sz w:val="24"/>
          <w:szCs w:val="24"/>
          <w:lang w:val="en-US"/>
        </w:rPr>
        <w:t>Ti6Al4V alloy-to-stainless steel HIP Diffusion Bonding</w:t>
      </w:r>
    </w:p>
    <w:p w:rsidR="005E794F" w:rsidRPr="00BD765C" w:rsidRDefault="005E794F" w:rsidP="0022581B">
      <w:pPr>
        <w:adjustRightInd w:val="0"/>
        <w:spacing w:before="120"/>
        <w:ind w:firstLine="284"/>
        <w:jc w:val="both"/>
        <w:rPr>
          <w:sz w:val="24"/>
          <w:szCs w:val="24"/>
          <w:lang w:val="en-US"/>
        </w:rPr>
      </w:pPr>
      <w:r w:rsidRPr="00BD765C">
        <w:rPr>
          <w:sz w:val="24"/>
          <w:szCs w:val="24"/>
          <w:lang w:val="en-US"/>
        </w:rPr>
        <w:t>Direct Ti6Al4V alloy-to-stainless steel</w:t>
      </w:r>
      <w:r w:rsidRPr="00BD765C">
        <w:rPr>
          <w:b/>
          <w:sz w:val="24"/>
          <w:szCs w:val="24"/>
          <w:lang w:val="en-US"/>
        </w:rPr>
        <w:t xml:space="preserve"> </w:t>
      </w:r>
      <w:r w:rsidRPr="00BD765C">
        <w:rPr>
          <w:sz w:val="24"/>
          <w:szCs w:val="24"/>
          <w:lang w:val="en-US"/>
        </w:rPr>
        <w:t xml:space="preserve">HIP DW does not give positive results. With increase in iron concentration more than 0,1%, intermetallic </w:t>
      </w:r>
      <w:proofErr w:type="spellStart"/>
      <w:r w:rsidRPr="00BD765C">
        <w:rPr>
          <w:sz w:val="24"/>
          <w:szCs w:val="24"/>
          <w:lang w:val="en-US"/>
        </w:rPr>
        <w:t>TiFe</w:t>
      </w:r>
      <w:proofErr w:type="spellEnd"/>
      <w:r w:rsidRPr="00BD765C">
        <w:rPr>
          <w:sz w:val="24"/>
          <w:szCs w:val="24"/>
          <w:lang w:val="en-US"/>
        </w:rPr>
        <w:t xml:space="preserve"> and TiFe</w:t>
      </w:r>
      <w:r w:rsidRPr="00BD765C">
        <w:rPr>
          <w:sz w:val="24"/>
          <w:szCs w:val="24"/>
          <w:vertAlign w:val="subscript"/>
          <w:lang w:val="en-US"/>
        </w:rPr>
        <w:t>2</w:t>
      </w:r>
      <w:r w:rsidRPr="00BD765C">
        <w:rPr>
          <w:sz w:val="24"/>
          <w:szCs w:val="24"/>
          <w:lang w:val="en-US"/>
        </w:rPr>
        <w:t xml:space="preserve"> are formed in titanium alloys, which </w:t>
      </w:r>
      <w:proofErr w:type="spellStart"/>
      <w:r w:rsidRPr="00BD765C">
        <w:rPr>
          <w:sz w:val="24"/>
          <w:szCs w:val="24"/>
          <w:lang w:val="en-US"/>
        </w:rPr>
        <w:t>embrittles</w:t>
      </w:r>
      <w:proofErr w:type="spellEnd"/>
      <w:r w:rsidRPr="00BD765C">
        <w:rPr>
          <w:sz w:val="24"/>
          <w:szCs w:val="24"/>
          <w:lang w:val="en-US"/>
        </w:rPr>
        <w:t xml:space="preserve"> the diffusion bonding transitional layer. In practice [5], niobium and copper spacer-foils are recommended for use in this case. Niobium and titanium form a continuous number of the solid solutions, and therefore, DW of them is not difficult. However, when reacted with carbon from steel niobium forms carbides along the total contact area, which </w:t>
      </w:r>
      <w:proofErr w:type="spellStart"/>
      <w:r w:rsidRPr="00BD765C">
        <w:rPr>
          <w:sz w:val="24"/>
          <w:szCs w:val="24"/>
          <w:lang w:val="en-US"/>
        </w:rPr>
        <w:t>embrittles</w:t>
      </w:r>
      <w:proofErr w:type="spellEnd"/>
      <w:r w:rsidRPr="00BD765C">
        <w:rPr>
          <w:sz w:val="24"/>
          <w:szCs w:val="24"/>
          <w:lang w:val="en-US"/>
        </w:rPr>
        <w:t xml:space="preserve"> the diffusion bonding transitional layer too. Carbon-tight, the copper spacer-foil located between niobium and steel does not allow forming niobium carbides. The relation between copper and niobic foil thicknesses is of 1.5 − 3.0 thereby initiating the failure on the base metal of the copper spacer-foil, which is responsible for stable strength properties and good ductility of the bimetallic joint obtained [6].</w:t>
      </w:r>
    </w:p>
    <w:p w:rsidR="005E794F" w:rsidRPr="00BD765C" w:rsidRDefault="005E794F" w:rsidP="00A374C4">
      <w:pPr>
        <w:adjustRightInd w:val="0"/>
        <w:ind w:firstLine="284"/>
        <w:jc w:val="both"/>
        <w:rPr>
          <w:sz w:val="24"/>
          <w:szCs w:val="24"/>
          <w:lang w:val="en-US"/>
        </w:rPr>
      </w:pPr>
      <w:r w:rsidRPr="00BD765C">
        <w:rPr>
          <w:sz w:val="24"/>
          <w:szCs w:val="24"/>
          <w:lang w:val="en-US"/>
        </w:rPr>
        <w:lastRenderedPageBreak/>
        <w:t>Ti6Al4V alloy-to-Fe18Cr10Ni1Ti stainless steel adapters were made of 50mm-diameter HIP bimetallic bar-piece blanks followed by machining. The capsules each have 6 pairs of the piece blanks (Fig</w:t>
      </w:r>
      <w:r w:rsidR="00A374C4">
        <w:rPr>
          <w:sz w:val="24"/>
          <w:szCs w:val="24"/>
          <w:lang w:val="en-US"/>
        </w:rPr>
        <w:t>.</w:t>
      </w:r>
      <w:r w:rsidRPr="00BD765C">
        <w:rPr>
          <w:sz w:val="24"/>
          <w:szCs w:val="24"/>
          <w:lang w:val="en-US"/>
        </w:rPr>
        <w:t>7a). All the HIP diffusion bonding contact zones have 100%-densities and no ply-separations and pores observed. The diffusion width of the titanium-to-niobium contact zone is up to 35μm (Fig</w:t>
      </w:r>
      <w:r w:rsidR="00A374C4">
        <w:rPr>
          <w:sz w:val="24"/>
          <w:szCs w:val="24"/>
          <w:lang w:val="en-US"/>
        </w:rPr>
        <w:t>.</w:t>
      </w:r>
      <w:r w:rsidRPr="00BD765C">
        <w:rPr>
          <w:sz w:val="24"/>
          <w:szCs w:val="24"/>
          <w:lang w:val="en-US"/>
        </w:rPr>
        <w:t xml:space="preserve">7b). Due to diffusion of niobium into titanium the </w:t>
      </w:r>
      <w:r w:rsidRPr="00BD765C">
        <w:rPr>
          <w:sz w:val="24"/>
          <w:szCs w:val="24"/>
        </w:rPr>
        <w:t>α</w:t>
      </w:r>
      <w:r w:rsidRPr="00BD765C">
        <w:rPr>
          <w:sz w:val="24"/>
          <w:szCs w:val="24"/>
          <w:lang w:val="en-US"/>
        </w:rPr>
        <w:t>+</w:t>
      </w:r>
      <w:r w:rsidRPr="00BD765C">
        <w:rPr>
          <w:sz w:val="24"/>
          <w:szCs w:val="24"/>
        </w:rPr>
        <w:t>β</w:t>
      </w:r>
      <w:r w:rsidRPr="00BD765C">
        <w:rPr>
          <w:sz w:val="24"/>
          <w:szCs w:val="24"/>
          <w:lang w:val="en-US"/>
        </w:rPr>
        <w:t xml:space="preserve"> titanium solid-solution structure of Ti6Al4V alloy is transformed to the so-called </w:t>
      </w:r>
      <w:r w:rsidRPr="00BD765C">
        <w:rPr>
          <w:sz w:val="24"/>
          <w:szCs w:val="24"/>
        </w:rPr>
        <w:t>β</w:t>
      </w:r>
      <w:r w:rsidRPr="00BD765C">
        <w:rPr>
          <w:sz w:val="24"/>
          <w:szCs w:val="24"/>
          <w:lang w:val="en-US"/>
        </w:rPr>
        <w:t>-phase. The diffusion width of the niobium to copper contact zone is up to 6μm. Structural changes in the field are not observed.</w:t>
      </w:r>
    </w:p>
    <w:tbl>
      <w:tblPr>
        <w:tblStyle w:val="af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8"/>
        <w:gridCol w:w="4247"/>
      </w:tblGrid>
      <w:tr w:rsidR="005E794F" w:rsidRPr="00BD765C" w:rsidTr="0065512F">
        <w:trPr>
          <w:jc w:val="center"/>
        </w:trPr>
        <w:tc>
          <w:tcPr>
            <w:tcW w:w="5098" w:type="dxa"/>
          </w:tcPr>
          <w:p w:rsidR="005E794F" w:rsidRPr="00BD765C" w:rsidRDefault="005E794F" w:rsidP="00A374C4">
            <w:pPr>
              <w:spacing w:before="120"/>
              <w:jc w:val="center"/>
              <w:rPr>
                <w:rFonts w:ascii="Times New Roman" w:hAnsi="Times New Roman" w:cs="Times New Roman"/>
                <w:color w:val="000000"/>
                <w:sz w:val="24"/>
                <w:szCs w:val="24"/>
                <w:lang w:eastAsia="ru-RU" w:bidi="ru-RU"/>
              </w:rPr>
            </w:pPr>
            <w:r w:rsidRPr="00BD765C">
              <w:rPr>
                <w:noProof/>
                <w:color w:val="000000"/>
                <w:sz w:val="24"/>
                <w:szCs w:val="24"/>
                <w:lang w:val="ru-RU" w:eastAsia="ru-RU"/>
              </w:rPr>
              <w:drawing>
                <wp:inline distT="0" distB="0" distL="0" distR="0" wp14:anchorId="134ACEDC" wp14:editId="37EE976D">
                  <wp:extent cx="1751526" cy="1184986"/>
                  <wp:effectExtent l="0" t="0" r="127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ГИП БМ рис 7а.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82811" cy="1206152"/>
                          </a:xfrm>
                          <a:prstGeom prst="rect">
                            <a:avLst/>
                          </a:prstGeom>
                        </pic:spPr>
                      </pic:pic>
                    </a:graphicData>
                  </a:graphic>
                </wp:inline>
              </w:drawing>
            </w:r>
            <w:r w:rsidRPr="00BD765C">
              <w:rPr>
                <w:rFonts w:ascii="Times New Roman" w:hAnsi="Times New Roman" w:cs="Times New Roman"/>
                <w:color w:val="000000"/>
                <w:sz w:val="24"/>
                <w:szCs w:val="24"/>
                <w:lang w:eastAsia="ru-RU" w:bidi="ru-RU"/>
              </w:rPr>
              <w:t>а</w:t>
            </w:r>
          </w:p>
        </w:tc>
        <w:tc>
          <w:tcPr>
            <w:tcW w:w="4247" w:type="dxa"/>
          </w:tcPr>
          <w:p w:rsidR="005E794F" w:rsidRPr="00BD765C" w:rsidRDefault="005E794F" w:rsidP="00A374C4">
            <w:pPr>
              <w:spacing w:before="120"/>
              <w:jc w:val="center"/>
              <w:rPr>
                <w:rFonts w:ascii="Times New Roman" w:hAnsi="Times New Roman" w:cs="Times New Roman"/>
                <w:color w:val="000000"/>
                <w:sz w:val="24"/>
                <w:szCs w:val="24"/>
                <w:lang w:eastAsia="ru-RU" w:bidi="ru-RU"/>
              </w:rPr>
            </w:pPr>
            <w:r w:rsidRPr="00BD765C">
              <w:rPr>
                <w:noProof/>
                <w:color w:val="000000"/>
                <w:sz w:val="24"/>
                <w:szCs w:val="24"/>
                <w:lang w:val="ru-RU" w:eastAsia="ru-RU"/>
              </w:rPr>
              <w:drawing>
                <wp:inline distT="0" distB="0" distL="0" distR="0" wp14:anchorId="573411B4" wp14:editId="03980FD2">
                  <wp:extent cx="1498196" cy="1184857"/>
                  <wp:effectExtent l="0" t="0" r="698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ГИП БМ рис 7б.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31431" cy="1211141"/>
                          </a:xfrm>
                          <a:prstGeom prst="rect">
                            <a:avLst/>
                          </a:prstGeom>
                        </pic:spPr>
                      </pic:pic>
                    </a:graphicData>
                  </a:graphic>
                </wp:inline>
              </w:drawing>
            </w:r>
            <w:r w:rsidRPr="00BD765C">
              <w:rPr>
                <w:rFonts w:ascii="Times New Roman" w:hAnsi="Times New Roman" w:cs="Times New Roman"/>
                <w:color w:val="000000"/>
                <w:sz w:val="24"/>
                <w:szCs w:val="24"/>
                <w:lang w:val="en-US" w:eastAsia="ru-RU" w:bidi="ru-RU"/>
              </w:rPr>
              <w:t xml:space="preserve"> b</w:t>
            </w:r>
          </w:p>
        </w:tc>
      </w:tr>
    </w:tbl>
    <w:p w:rsidR="005E794F" w:rsidRPr="00BD765C" w:rsidRDefault="005E794F" w:rsidP="001D4F4A">
      <w:pPr>
        <w:adjustRightInd w:val="0"/>
        <w:spacing w:before="120"/>
        <w:ind w:firstLine="284"/>
        <w:jc w:val="both"/>
        <w:rPr>
          <w:sz w:val="24"/>
          <w:szCs w:val="24"/>
          <w:lang w:val="en-US"/>
        </w:rPr>
      </w:pPr>
      <w:r w:rsidRPr="00BD765C">
        <w:rPr>
          <w:sz w:val="24"/>
          <w:szCs w:val="24"/>
          <w:lang w:val="en-US"/>
        </w:rPr>
        <w:t>Fig</w:t>
      </w:r>
      <w:r w:rsidR="001D4F4A">
        <w:rPr>
          <w:sz w:val="24"/>
          <w:szCs w:val="24"/>
          <w:lang w:val="en-US"/>
        </w:rPr>
        <w:t>.</w:t>
      </w:r>
      <w:r w:rsidRPr="00BD765C">
        <w:rPr>
          <w:sz w:val="24"/>
          <w:szCs w:val="24"/>
          <w:lang w:val="en-US"/>
        </w:rPr>
        <w:t>7 - Titanium-steel piece blanks (a), micrograph of the Ti6Al4V/</w:t>
      </w:r>
      <w:proofErr w:type="spellStart"/>
      <w:r w:rsidRPr="00BD765C">
        <w:rPr>
          <w:sz w:val="24"/>
          <w:szCs w:val="24"/>
          <w:lang w:val="en-US"/>
        </w:rPr>
        <w:t>Nb</w:t>
      </w:r>
      <w:proofErr w:type="spellEnd"/>
      <w:r w:rsidRPr="00BD765C">
        <w:rPr>
          <w:sz w:val="24"/>
          <w:szCs w:val="24"/>
          <w:lang w:val="en-US"/>
        </w:rPr>
        <w:t>/Cu/SS joint [4] (b)</w:t>
      </w:r>
    </w:p>
    <w:p w:rsidR="005E794F" w:rsidRPr="00BD765C" w:rsidRDefault="005E794F" w:rsidP="00BD765C">
      <w:pPr>
        <w:adjustRightInd w:val="0"/>
        <w:ind w:firstLine="709"/>
        <w:jc w:val="both"/>
        <w:rPr>
          <w:sz w:val="24"/>
          <w:szCs w:val="24"/>
          <w:lang w:val="en-US"/>
        </w:rPr>
      </w:pPr>
    </w:p>
    <w:p w:rsidR="005E794F" w:rsidRPr="00BD765C" w:rsidRDefault="005E794F" w:rsidP="001D4F4A">
      <w:pPr>
        <w:adjustRightInd w:val="0"/>
        <w:ind w:firstLine="284"/>
        <w:jc w:val="both"/>
        <w:rPr>
          <w:sz w:val="24"/>
          <w:szCs w:val="24"/>
          <w:lang w:val="en-US"/>
        </w:rPr>
      </w:pPr>
      <w:r w:rsidRPr="00BD765C">
        <w:rPr>
          <w:sz w:val="24"/>
          <w:szCs w:val="24"/>
          <w:lang w:val="en-US"/>
        </w:rPr>
        <w:t>With diffusion from steel into copper, iron and nickel atoms diffuse into copper at the depth of up to 15μm and 5μm, respectively, of the visible contact line. The depth of copper diffusion into steel is observed up to 5μm only. Thus the common diffusion width of copper-to-steel diffusion bonding transitional layer reaches 20μm. Room temperature tensile strength (</w:t>
      </w:r>
      <w:proofErr w:type="spellStart"/>
      <w:r w:rsidRPr="00BD765C">
        <w:rPr>
          <w:sz w:val="24"/>
          <w:szCs w:val="24"/>
        </w:rPr>
        <w:t>σ</w:t>
      </w:r>
      <w:r w:rsidRPr="00BD765C">
        <w:rPr>
          <w:sz w:val="24"/>
          <w:szCs w:val="24"/>
          <w:vertAlign w:val="subscript"/>
        </w:rPr>
        <w:t>в</w:t>
      </w:r>
      <w:proofErr w:type="spellEnd"/>
      <w:r w:rsidRPr="00BD765C">
        <w:rPr>
          <w:sz w:val="24"/>
          <w:szCs w:val="24"/>
          <w:lang w:val="en-US"/>
        </w:rPr>
        <w:t xml:space="preserve">) of the HIP diffusion bonding Ti6Al4V alloy-to-stainless steel is equal to </w:t>
      </w:r>
      <w:r w:rsidRPr="00BD765C">
        <w:rPr>
          <w:color w:val="000000"/>
          <w:kern w:val="24"/>
          <w:sz w:val="24"/>
          <w:szCs w:val="24"/>
          <w:lang w:val="en-US"/>
        </w:rPr>
        <w:t xml:space="preserve">439 </w:t>
      </w:r>
      <w:r w:rsidRPr="00BD765C">
        <w:rPr>
          <w:sz w:val="24"/>
          <w:szCs w:val="24"/>
          <w:lang w:val="en-US"/>
        </w:rPr>
        <w:t xml:space="preserve">MPa. This characteristic is stable along the total diffusion bonding area: the dispersion of values </w:t>
      </w:r>
      <w:proofErr w:type="spellStart"/>
      <w:r w:rsidRPr="00BD765C">
        <w:rPr>
          <w:sz w:val="24"/>
          <w:szCs w:val="24"/>
        </w:rPr>
        <w:t>σ</w:t>
      </w:r>
      <w:r w:rsidRPr="00BD765C">
        <w:rPr>
          <w:sz w:val="24"/>
          <w:szCs w:val="24"/>
          <w:vertAlign w:val="subscript"/>
        </w:rPr>
        <w:t>в</w:t>
      </w:r>
      <w:proofErr w:type="spellEnd"/>
      <w:r w:rsidRPr="00BD765C">
        <w:rPr>
          <w:sz w:val="24"/>
          <w:szCs w:val="24"/>
          <w:lang w:val="en-US"/>
        </w:rPr>
        <w:t xml:space="preserve"> is equal to 0.44%. Ti6Al4V / stainless steel adapters have passed hydrostatic test at pressure of 7000 MPa for 20 min without failure.</w:t>
      </w:r>
    </w:p>
    <w:p w:rsidR="005E794F" w:rsidRPr="001D4F4A" w:rsidRDefault="005E794F" w:rsidP="001D4F4A">
      <w:pPr>
        <w:adjustRightInd w:val="0"/>
        <w:spacing w:before="120"/>
        <w:ind w:firstLine="284"/>
        <w:rPr>
          <w:i/>
          <w:sz w:val="24"/>
          <w:szCs w:val="24"/>
          <w:lang w:val="en-US"/>
        </w:rPr>
      </w:pPr>
      <w:r w:rsidRPr="001D4F4A">
        <w:rPr>
          <w:i/>
          <w:sz w:val="24"/>
          <w:szCs w:val="24"/>
          <w:lang w:val="en-US"/>
        </w:rPr>
        <w:t>Single-crystal molybdenum-to-polycrystalline molybdenum HIP Diffusion Bonding</w:t>
      </w:r>
    </w:p>
    <w:p w:rsidR="005E794F" w:rsidRPr="00BD765C" w:rsidRDefault="005E794F" w:rsidP="001D4F4A">
      <w:pPr>
        <w:spacing w:before="120"/>
        <w:ind w:firstLine="284"/>
        <w:jc w:val="both"/>
        <w:rPr>
          <w:sz w:val="24"/>
          <w:szCs w:val="24"/>
          <w:lang w:val="en-US"/>
        </w:rPr>
      </w:pPr>
      <w:r w:rsidRPr="00BD765C">
        <w:rPr>
          <w:sz w:val="24"/>
          <w:szCs w:val="24"/>
          <w:lang w:val="en-US"/>
        </w:rPr>
        <w:t>Single-crystal molybdenum (</w:t>
      </w:r>
      <w:proofErr w:type="spellStart"/>
      <w:r w:rsidRPr="00BD765C">
        <w:rPr>
          <w:sz w:val="24"/>
          <w:szCs w:val="24"/>
          <w:lang w:val="en-US"/>
        </w:rPr>
        <w:t>Mo</w:t>
      </w:r>
      <w:r w:rsidRPr="00BD765C">
        <w:rPr>
          <w:sz w:val="24"/>
          <w:szCs w:val="24"/>
          <w:vertAlign w:val="subscript"/>
          <w:lang w:val="en-US"/>
        </w:rPr>
        <w:t>single</w:t>
      </w:r>
      <w:proofErr w:type="spellEnd"/>
      <w:r w:rsidRPr="00BD765C">
        <w:rPr>
          <w:sz w:val="24"/>
          <w:szCs w:val="24"/>
          <w:lang w:val="en-US"/>
        </w:rPr>
        <w:t>) is of choice material for producing the first mirrors of 200mm x100mm to be used in a diagnostics system for ITER Hydrogen Lines Spectroscopy [7]. Both the severe</w:t>
      </w:r>
      <w:r w:rsidRPr="00BD765C">
        <w:rPr>
          <w:color w:val="000000"/>
          <w:sz w:val="24"/>
          <w:szCs w:val="24"/>
          <w:lang w:val="en-US" w:eastAsia="ru-RU" w:bidi="ru-RU"/>
        </w:rPr>
        <w:t xml:space="preserve"> quality requirements and the complicated 250mm-diameter blank technology determine very high price of the molybdenum single crystals. </w:t>
      </w:r>
      <w:r w:rsidRPr="00BD765C">
        <w:rPr>
          <w:rFonts w:eastAsia="Calibri"/>
          <w:sz w:val="24"/>
          <w:szCs w:val="24"/>
          <w:lang w:val="en-US"/>
        </w:rPr>
        <w:t>Therefore, a composite mirror design has been proposed. In this design, the reflecting part, produced from several parts of single-crystal molybdenum with the same orientation in the crystallographic planes, is joined by HIP DW with the extra pure polycrystalline molybdenum (</w:t>
      </w:r>
      <w:proofErr w:type="spellStart"/>
      <w:r w:rsidRPr="00BD765C">
        <w:rPr>
          <w:rFonts w:eastAsia="Calibri"/>
          <w:sz w:val="24"/>
          <w:szCs w:val="24"/>
          <w:lang w:val="en-US"/>
        </w:rPr>
        <w:t>Mo</w:t>
      </w:r>
      <w:r w:rsidRPr="00BD765C">
        <w:rPr>
          <w:rFonts w:eastAsia="Calibri"/>
          <w:sz w:val="24"/>
          <w:szCs w:val="24"/>
          <w:vertAlign w:val="subscript"/>
          <w:lang w:val="en-US"/>
        </w:rPr>
        <w:t>poly</w:t>
      </w:r>
      <w:proofErr w:type="spellEnd"/>
      <w:r w:rsidRPr="00BD765C">
        <w:rPr>
          <w:rFonts w:eastAsia="Calibri"/>
          <w:sz w:val="24"/>
          <w:szCs w:val="24"/>
          <w:lang w:val="en-US"/>
        </w:rPr>
        <w:t xml:space="preserve">) of a relatively low price. </w:t>
      </w:r>
      <w:r w:rsidRPr="00BD765C">
        <w:rPr>
          <w:sz w:val="24"/>
          <w:szCs w:val="24"/>
          <w:lang w:val="en-US"/>
        </w:rPr>
        <w:t xml:space="preserve">The technology of joining the molybdenum single crystal with the base made of polycrystalline molybdenum should not cause recrystallization of the single-crystal molybdenum. The mechanical properties of the diffusion bonding should be higher than the loads applied while mirror manufacturing (milling and turning, grinding, and polishing, etc.) and servicing. The HIP diffusion bonding between single-crystal molybdenum and </w:t>
      </w:r>
      <w:r w:rsidRPr="00BD765C">
        <w:rPr>
          <w:rFonts w:eastAsia="Calibri"/>
          <w:sz w:val="24"/>
          <w:szCs w:val="24"/>
          <w:lang w:val="en-US"/>
        </w:rPr>
        <w:t xml:space="preserve">polycrystalline molybdenum was achieved through the titanium </w:t>
      </w:r>
      <w:r w:rsidRPr="00BD765C">
        <w:rPr>
          <w:sz w:val="24"/>
          <w:szCs w:val="24"/>
          <w:lang w:val="en-US"/>
        </w:rPr>
        <w:t xml:space="preserve">foil </w:t>
      </w:r>
      <w:r w:rsidRPr="00BD765C">
        <w:rPr>
          <w:rFonts w:eastAsia="Calibri"/>
          <w:sz w:val="24"/>
          <w:szCs w:val="24"/>
          <w:lang w:val="en-US"/>
        </w:rPr>
        <w:t xml:space="preserve">interlayer of </w:t>
      </w:r>
      <w:r w:rsidRPr="00BD765C">
        <w:rPr>
          <w:sz w:val="24"/>
          <w:szCs w:val="24"/>
          <w:lang w:val="en-US"/>
        </w:rPr>
        <w:t>0.1mm thick (Ti</w:t>
      </w:r>
      <w:r w:rsidRPr="00BD765C">
        <w:rPr>
          <w:sz w:val="24"/>
          <w:szCs w:val="24"/>
          <w:vertAlign w:val="subscript"/>
          <w:lang w:val="en-US"/>
        </w:rPr>
        <w:t>0.1</w:t>
      </w:r>
      <w:r w:rsidRPr="00BD765C">
        <w:rPr>
          <w:sz w:val="24"/>
          <w:szCs w:val="24"/>
          <w:lang w:val="en-US"/>
        </w:rPr>
        <w:t>) [7]. The titanium and molybdenum form a continuous number of the solid solutions and therefore there is no danger of forming any embrittlement phases in the contact zone. Room temperature tensile strength (</w:t>
      </w:r>
      <w:proofErr w:type="spellStart"/>
      <w:r w:rsidRPr="00BD765C">
        <w:rPr>
          <w:sz w:val="24"/>
          <w:szCs w:val="24"/>
        </w:rPr>
        <w:t>σ</w:t>
      </w:r>
      <w:r w:rsidRPr="00BD765C">
        <w:rPr>
          <w:sz w:val="24"/>
          <w:szCs w:val="24"/>
          <w:vertAlign w:val="subscript"/>
        </w:rPr>
        <w:t>в</w:t>
      </w:r>
      <w:proofErr w:type="spellEnd"/>
      <w:r w:rsidRPr="00BD765C">
        <w:rPr>
          <w:sz w:val="24"/>
          <w:szCs w:val="24"/>
          <w:lang w:val="en-US"/>
        </w:rPr>
        <w:t xml:space="preserve">) of the HIP diffusion bonding </w:t>
      </w:r>
      <w:proofErr w:type="spellStart"/>
      <w:r w:rsidRPr="00BD765C">
        <w:rPr>
          <w:sz w:val="24"/>
          <w:szCs w:val="24"/>
          <w:lang w:val="en-US"/>
        </w:rPr>
        <w:t>Mo</w:t>
      </w:r>
      <w:r w:rsidRPr="00BD765C">
        <w:rPr>
          <w:sz w:val="24"/>
          <w:szCs w:val="24"/>
          <w:vertAlign w:val="subscript"/>
          <w:lang w:val="en-US"/>
        </w:rPr>
        <w:t>single</w:t>
      </w:r>
      <w:proofErr w:type="spellEnd"/>
      <w:r w:rsidRPr="00BD765C">
        <w:rPr>
          <w:sz w:val="24"/>
          <w:szCs w:val="24"/>
          <w:lang w:val="en-US"/>
        </w:rPr>
        <w:t>/Ti</w:t>
      </w:r>
      <w:r w:rsidRPr="00BD765C">
        <w:rPr>
          <w:sz w:val="24"/>
          <w:szCs w:val="24"/>
          <w:vertAlign w:val="subscript"/>
          <w:lang w:val="en-US"/>
        </w:rPr>
        <w:t>0.1</w:t>
      </w:r>
      <w:r w:rsidRPr="00BD765C">
        <w:rPr>
          <w:sz w:val="24"/>
          <w:szCs w:val="24"/>
          <w:lang w:val="en-US"/>
        </w:rPr>
        <w:t>/</w:t>
      </w:r>
      <w:proofErr w:type="spellStart"/>
      <w:r w:rsidRPr="00BD765C">
        <w:rPr>
          <w:sz w:val="24"/>
          <w:szCs w:val="24"/>
          <w:lang w:val="en-US"/>
        </w:rPr>
        <w:t>Mo</w:t>
      </w:r>
      <w:r w:rsidRPr="00BD765C">
        <w:rPr>
          <w:sz w:val="24"/>
          <w:szCs w:val="24"/>
          <w:vertAlign w:val="subscript"/>
          <w:lang w:val="en-US"/>
        </w:rPr>
        <w:t>poly</w:t>
      </w:r>
      <w:proofErr w:type="spellEnd"/>
      <w:r w:rsidRPr="00BD765C">
        <w:rPr>
          <w:sz w:val="24"/>
          <w:szCs w:val="24"/>
          <w:lang w:val="en-US"/>
        </w:rPr>
        <w:t xml:space="preserve"> shows more than </w:t>
      </w:r>
      <w:r w:rsidRPr="00BD765C">
        <w:rPr>
          <w:color w:val="000000"/>
          <w:kern w:val="24"/>
          <w:sz w:val="24"/>
          <w:szCs w:val="24"/>
          <w:lang w:val="en-US"/>
        </w:rPr>
        <w:t xml:space="preserve">380 </w:t>
      </w:r>
      <w:r w:rsidRPr="00BD765C">
        <w:rPr>
          <w:sz w:val="24"/>
          <w:szCs w:val="24"/>
          <w:lang w:val="en-US"/>
        </w:rPr>
        <w:t xml:space="preserve">MPa. Failure happens on a titanium foil </w:t>
      </w:r>
      <w:r w:rsidRPr="00BD765C">
        <w:rPr>
          <w:rFonts w:eastAsia="Calibri"/>
          <w:sz w:val="24"/>
          <w:szCs w:val="24"/>
          <w:lang w:val="en-US"/>
        </w:rPr>
        <w:t>interlayer</w:t>
      </w:r>
      <w:r w:rsidRPr="00BD765C">
        <w:rPr>
          <w:sz w:val="24"/>
          <w:szCs w:val="24"/>
          <w:lang w:val="en-US"/>
        </w:rPr>
        <w:t xml:space="preserve"> and has viscous character. Loss of the mirror heat conductivity due to a titanium </w:t>
      </w:r>
      <w:r w:rsidRPr="00BD765C">
        <w:rPr>
          <w:rFonts w:eastAsia="Calibri"/>
          <w:sz w:val="24"/>
          <w:szCs w:val="24"/>
          <w:lang w:val="en-US"/>
        </w:rPr>
        <w:t>interlayer</w:t>
      </w:r>
      <w:r w:rsidRPr="00BD765C">
        <w:rPr>
          <w:sz w:val="24"/>
          <w:szCs w:val="24"/>
          <w:lang w:val="en-US"/>
        </w:rPr>
        <w:t xml:space="preserve"> is less than 5%. A sharply defined contact line and a visible homogeneous light transitional zone of ~ 5-10μm-thick being a solid solution of molybdenum in titanium is observed on the both sides of the titanium foil </w:t>
      </w:r>
      <w:r w:rsidRPr="00BD765C">
        <w:rPr>
          <w:rFonts w:eastAsia="Calibri"/>
          <w:sz w:val="24"/>
          <w:szCs w:val="24"/>
          <w:lang w:val="en-US"/>
        </w:rPr>
        <w:t>interlayer within</w:t>
      </w:r>
      <w:r w:rsidRPr="00BD765C">
        <w:rPr>
          <w:sz w:val="24"/>
          <w:szCs w:val="24"/>
          <w:lang w:val="en-US"/>
        </w:rPr>
        <w:t xml:space="preserve"> a diffusive zone of the </w:t>
      </w:r>
      <w:proofErr w:type="spellStart"/>
      <w:r w:rsidRPr="00BD765C">
        <w:rPr>
          <w:sz w:val="24"/>
          <w:szCs w:val="24"/>
          <w:lang w:val="en-US"/>
        </w:rPr>
        <w:t>Mo</w:t>
      </w:r>
      <w:r w:rsidRPr="00BD765C">
        <w:rPr>
          <w:sz w:val="24"/>
          <w:szCs w:val="24"/>
          <w:vertAlign w:val="subscript"/>
          <w:lang w:val="en-US"/>
        </w:rPr>
        <w:t>single</w:t>
      </w:r>
      <w:proofErr w:type="spellEnd"/>
      <w:r w:rsidRPr="00BD765C">
        <w:rPr>
          <w:sz w:val="24"/>
          <w:szCs w:val="24"/>
          <w:lang w:val="en-US"/>
        </w:rPr>
        <w:t>/Ti</w:t>
      </w:r>
      <w:r w:rsidRPr="00BD765C">
        <w:rPr>
          <w:sz w:val="24"/>
          <w:szCs w:val="24"/>
          <w:vertAlign w:val="subscript"/>
          <w:lang w:val="en-US"/>
        </w:rPr>
        <w:t>0.1</w:t>
      </w:r>
      <w:r w:rsidRPr="00BD765C">
        <w:rPr>
          <w:sz w:val="24"/>
          <w:szCs w:val="24"/>
          <w:lang w:val="en-US"/>
        </w:rPr>
        <w:t>/</w:t>
      </w:r>
      <w:proofErr w:type="spellStart"/>
      <w:r w:rsidRPr="00BD765C">
        <w:rPr>
          <w:sz w:val="24"/>
          <w:szCs w:val="24"/>
          <w:lang w:val="en-US"/>
        </w:rPr>
        <w:t>Mo</w:t>
      </w:r>
      <w:r w:rsidRPr="00BD765C">
        <w:rPr>
          <w:sz w:val="24"/>
          <w:szCs w:val="24"/>
          <w:vertAlign w:val="subscript"/>
          <w:lang w:val="en-US"/>
        </w:rPr>
        <w:t>poly</w:t>
      </w:r>
      <w:proofErr w:type="spellEnd"/>
      <w:r w:rsidRPr="00BD765C">
        <w:rPr>
          <w:sz w:val="24"/>
          <w:szCs w:val="24"/>
          <w:lang w:val="en-US"/>
        </w:rPr>
        <w:t xml:space="preserve"> bonding (Fig</w:t>
      </w:r>
      <w:r w:rsidR="001D4F4A">
        <w:rPr>
          <w:sz w:val="24"/>
          <w:szCs w:val="24"/>
          <w:lang w:val="en-US"/>
        </w:rPr>
        <w:t>.</w:t>
      </w:r>
      <w:r w:rsidRPr="00BD765C">
        <w:rPr>
          <w:sz w:val="24"/>
          <w:szCs w:val="24"/>
          <w:lang w:val="en-US"/>
        </w:rPr>
        <w:t>8a). The composite single-crystal molybdenum mirrors having working surface area of 5000mm</w:t>
      </w:r>
      <w:r w:rsidRPr="00BD765C">
        <w:rPr>
          <w:sz w:val="24"/>
          <w:szCs w:val="24"/>
          <w:vertAlign w:val="superscript"/>
          <w:lang w:val="en-US"/>
        </w:rPr>
        <w:t>2</w:t>
      </w:r>
      <w:r w:rsidRPr="00BD765C">
        <w:rPr>
          <w:sz w:val="24"/>
          <w:szCs w:val="24"/>
          <w:lang w:val="en-US"/>
        </w:rPr>
        <w:t xml:space="preserve"> and 8000 mm</w:t>
      </w:r>
      <w:r w:rsidRPr="00BD765C">
        <w:rPr>
          <w:sz w:val="24"/>
          <w:szCs w:val="24"/>
          <w:vertAlign w:val="superscript"/>
          <w:lang w:val="en-US"/>
        </w:rPr>
        <w:t>2</w:t>
      </w:r>
      <w:r w:rsidRPr="00BD765C">
        <w:rPr>
          <w:sz w:val="24"/>
          <w:szCs w:val="24"/>
          <w:lang w:val="en-US"/>
        </w:rPr>
        <w:t xml:space="preserve"> </w:t>
      </w:r>
      <w:r w:rsidRPr="00BD765C">
        <w:rPr>
          <w:sz w:val="24"/>
          <w:szCs w:val="24"/>
          <w:lang w:val="en-US"/>
        </w:rPr>
        <w:lastRenderedPageBreak/>
        <w:t>(Fig</w:t>
      </w:r>
      <w:r w:rsidR="001D4F4A">
        <w:rPr>
          <w:sz w:val="24"/>
          <w:szCs w:val="24"/>
          <w:lang w:val="en-US"/>
        </w:rPr>
        <w:t>.</w:t>
      </w:r>
      <w:r w:rsidRPr="00BD765C">
        <w:rPr>
          <w:sz w:val="24"/>
          <w:szCs w:val="24"/>
          <w:lang w:val="en-US"/>
        </w:rPr>
        <w:t>8b) have successfully passed the tests carried out according to a special program, including tests in the conditions of heating to a temperature of 250°C under hydraulic pressure up to 50 atm.</w:t>
      </w: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5E794F" w:rsidRPr="00BD765C" w:rsidTr="0065512F">
        <w:tc>
          <w:tcPr>
            <w:tcW w:w="4672" w:type="dxa"/>
          </w:tcPr>
          <w:p w:rsidR="005E794F" w:rsidRPr="00BD765C" w:rsidRDefault="005E794F" w:rsidP="007D119E">
            <w:pPr>
              <w:spacing w:before="120"/>
              <w:jc w:val="center"/>
              <w:rPr>
                <w:rFonts w:ascii="Times New Roman" w:hAnsi="Times New Roman" w:cs="Times New Roman"/>
                <w:sz w:val="24"/>
                <w:szCs w:val="24"/>
              </w:rPr>
            </w:pPr>
            <w:r w:rsidRPr="00BD765C">
              <w:rPr>
                <w:noProof/>
                <w:sz w:val="24"/>
                <w:szCs w:val="24"/>
                <w:lang w:val="ru-RU" w:eastAsia="ru-RU"/>
              </w:rPr>
              <w:drawing>
                <wp:inline distT="0" distB="0" distL="0" distR="0" wp14:anchorId="7BA38E34" wp14:editId="4C935375">
                  <wp:extent cx="1620336" cy="1159098"/>
                  <wp:effectExtent l="0" t="0" r="0" b="317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ig8-1sm.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30550" cy="1166405"/>
                          </a:xfrm>
                          <a:prstGeom prst="rect">
                            <a:avLst/>
                          </a:prstGeom>
                        </pic:spPr>
                      </pic:pic>
                    </a:graphicData>
                  </a:graphic>
                </wp:inline>
              </w:drawing>
            </w:r>
            <w:r w:rsidRPr="00BD765C">
              <w:rPr>
                <w:rFonts w:ascii="Times New Roman" w:hAnsi="Times New Roman" w:cs="Times New Roman"/>
                <w:sz w:val="24"/>
                <w:szCs w:val="24"/>
                <w:lang w:val="en-US"/>
              </w:rPr>
              <w:t xml:space="preserve"> a</w:t>
            </w:r>
          </w:p>
        </w:tc>
        <w:tc>
          <w:tcPr>
            <w:tcW w:w="4673" w:type="dxa"/>
          </w:tcPr>
          <w:p w:rsidR="005E794F" w:rsidRPr="00BD765C" w:rsidRDefault="005E794F" w:rsidP="007D119E">
            <w:pPr>
              <w:spacing w:before="120"/>
              <w:jc w:val="center"/>
              <w:rPr>
                <w:rFonts w:ascii="Times New Roman" w:hAnsi="Times New Roman" w:cs="Times New Roman"/>
                <w:sz w:val="24"/>
                <w:szCs w:val="24"/>
              </w:rPr>
            </w:pPr>
            <w:r w:rsidRPr="00BD765C">
              <w:rPr>
                <w:noProof/>
                <w:sz w:val="24"/>
                <w:szCs w:val="24"/>
                <w:lang w:val="ru-RU" w:eastAsia="ru-RU"/>
              </w:rPr>
              <w:drawing>
                <wp:inline distT="0" distB="0" distL="0" distR="0" wp14:anchorId="4AF57F01" wp14:editId="4716187D">
                  <wp:extent cx="1547527" cy="1163511"/>
                  <wp:effectExtent l="0" t="0" r="0" b="0"/>
                  <wp:docPr id="1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52740" cy="1167430"/>
                          </a:xfrm>
                          <a:prstGeom prst="rect">
                            <a:avLst/>
                          </a:prstGeom>
                          <a:noFill/>
                          <a:ln>
                            <a:noFill/>
                          </a:ln>
                        </pic:spPr>
                      </pic:pic>
                    </a:graphicData>
                  </a:graphic>
                </wp:inline>
              </w:drawing>
            </w:r>
            <w:r w:rsidRPr="00BD765C">
              <w:rPr>
                <w:rFonts w:ascii="Times New Roman" w:hAnsi="Times New Roman" w:cs="Times New Roman"/>
                <w:sz w:val="24"/>
                <w:szCs w:val="24"/>
                <w:lang w:val="en-US"/>
              </w:rPr>
              <w:t xml:space="preserve"> b</w:t>
            </w:r>
          </w:p>
        </w:tc>
      </w:tr>
    </w:tbl>
    <w:p w:rsidR="005E794F" w:rsidRPr="00BD765C" w:rsidRDefault="005E794F" w:rsidP="007D119E">
      <w:pPr>
        <w:spacing w:before="120"/>
        <w:ind w:firstLine="284"/>
        <w:jc w:val="both"/>
        <w:rPr>
          <w:sz w:val="24"/>
          <w:szCs w:val="24"/>
          <w:lang w:val="en-US"/>
        </w:rPr>
      </w:pPr>
      <w:r w:rsidRPr="00BD765C">
        <w:rPr>
          <w:sz w:val="24"/>
          <w:szCs w:val="24"/>
          <w:lang w:val="en-US"/>
        </w:rPr>
        <w:t>Fig</w:t>
      </w:r>
      <w:r w:rsidR="007D119E">
        <w:rPr>
          <w:sz w:val="24"/>
          <w:szCs w:val="24"/>
          <w:lang w:val="en-US"/>
        </w:rPr>
        <w:t>.</w:t>
      </w:r>
      <w:r w:rsidRPr="00BD765C">
        <w:rPr>
          <w:sz w:val="24"/>
          <w:szCs w:val="24"/>
          <w:lang w:val="en-US"/>
        </w:rPr>
        <w:t xml:space="preserve">8 - Micrograph of </w:t>
      </w:r>
      <w:proofErr w:type="spellStart"/>
      <w:r w:rsidRPr="00BD765C">
        <w:rPr>
          <w:sz w:val="24"/>
          <w:szCs w:val="24"/>
          <w:lang w:val="en-US"/>
        </w:rPr>
        <w:t>Mo</w:t>
      </w:r>
      <w:r w:rsidRPr="00BD765C">
        <w:rPr>
          <w:sz w:val="24"/>
          <w:szCs w:val="24"/>
          <w:vertAlign w:val="subscript"/>
          <w:lang w:val="en-US"/>
        </w:rPr>
        <w:t>single</w:t>
      </w:r>
      <w:proofErr w:type="spellEnd"/>
      <w:r w:rsidRPr="00BD765C">
        <w:rPr>
          <w:sz w:val="24"/>
          <w:szCs w:val="24"/>
          <w:lang w:val="en-US"/>
        </w:rPr>
        <w:t>/Ti</w:t>
      </w:r>
      <w:r w:rsidRPr="00BD765C">
        <w:rPr>
          <w:sz w:val="24"/>
          <w:szCs w:val="24"/>
          <w:vertAlign w:val="subscript"/>
          <w:lang w:val="en-US"/>
        </w:rPr>
        <w:t>0.1</w:t>
      </w:r>
      <w:r w:rsidRPr="00BD765C">
        <w:rPr>
          <w:sz w:val="24"/>
          <w:szCs w:val="24"/>
          <w:lang w:val="en-US"/>
        </w:rPr>
        <w:t>/</w:t>
      </w:r>
      <w:proofErr w:type="spellStart"/>
      <w:r w:rsidRPr="00BD765C">
        <w:rPr>
          <w:sz w:val="24"/>
          <w:szCs w:val="24"/>
          <w:lang w:val="en-US"/>
        </w:rPr>
        <w:t>Mo</w:t>
      </w:r>
      <w:r w:rsidRPr="00BD765C">
        <w:rPr>
          <w:sz w:val="24"/>
          <w:szCs w:val="24"/>
          <w:vertAlign w:val="subscript"/>
          <w:lang w:val="en-US"/>
        </w:rPr>
        <w:t>poly</w:t>
      </w:r>
      <w:proofErr w:type="spellEnd"/>
      <w:r w:rsidRPr="00BD765C">
        <w:rPr>
          <w:sz w:val="24"/>
          <w:szCs w:val="24"/>
          <w:lang w:val="en-US"/>
        </w:rPr>
        <w:t xml:space="preserve"> bonding (a) and experimental composite single-crystal molybdenum mirrors(b) [7]</w:t>
      </w:r>
    </w:p>
    <w:p w:rsidR="005E794F" w:rsidRPr="004C7B7F" w:rsidRDefault="005E794F" w:rsidP="004C7B7F">
      <w:pPr>
        <w:adjustRightInd w:val="0"/>
        <w:spacing w:before="120"/>
        <w:ind w:firstLine="284"/>
        <w:rPr>
          <w:i/>
          <w:sz w:val="24"/>
          <w:szCs w:val="24"/>
          <w:lang w:val="en-US"/>
        </w:rPr>
      </w:pPr>
      <w:r w:rsidRPr="004C7B7F">
        <w:rPr>
          <w:i/>
          <w:sz w:val="24"/>
          <w:szCs w:val="24"/>
          <w:lang w:val="en-US"/>
        </w:rPr>
        <w:t>Titanium alloy-to-aluminum alloy HIP Diffusion Bonding</w:t>
      </w:r>
    </w:p>
    <w:p w:rsidR="005E794F" w:rsidRPr="00BD765C" w:rsidRDefault="005E794F" w:rsidP="004C7B7F">
      <w:pPr>
        <w:adjustRightInd w:val="0"/>
        <w:spacing w:before="120"/>
        <w:ind w:firstLine="284"/>
        <w:jc w:val="both"/>
        <w:rPr>
          <w:sz w:val="24"/>
          <w:szCs w:val="24"/>
          <w:lang w:val="en-US"/>
        </w:rPr>
      </w:pPr>
      <w:r w:rsidRPr="00BD765C">
        <w:rPr>
          <w:sz w:val="24"/>
          <w:szCs w:val="24"/>
          <w:lang w:val="en-US"/>
        </w:rPr>
        <w:t>The fusion welding of bimetallic titanium alloy/aluminum alloy is impossible because intermetallic TiAl</w:t>
      </w:r>
      <w:r w:rsidRPr="00BD765C">
        <w:rPr>
          <w:sz w:val="24"/>
          <w:szCs w:val="24"/>
          <w:vertAlign w:val="subscript"/>
          <w:lang w:val="en-US"/>
        </w:rPr>
        <w:t>3</w:t>
      </w:r>
      <w:r w:rsidRPr="00BD765C">
        <w:rPr>
          <w:sz w:val="24"/>
          <w:szCs w:val="24"/>
          <w:lang w:val="en-US"/>
        </w:rPr>
        <w:t xml:space="preserve"> and </w:t>
      </w:r>
      <w:proofErr w:type="spellStart"/>
      <w:r w:rsidRPr="00BD765C">
        <w:rPr>
          <w:sz w:val="24"/>
          <w:szCs w:val="24"/>
          <w:lang w:val="en-US"/>
        </w:rPr>
        <w:t>TiAl</w:t>
      </w:r>
      <w:proofErr w:type="spellEnd"/>
      <w:r w:rsidRPr="00BD765C">
        <w:rPr>
          <w:sz w:val="24"/>
          <w:szCs w:val="24"/>
          <w:lang w:val="en-US"/>
        </w:rPr>
        <w:t xml:space="preserve"> are formed in alloying zone at 1340</w:t>
      </w:r>
      <w:r w:rsidRPr="00BD765C">
        <w:rPr>
          <w:sz w:val="24"/>
          <w:szCs w:val="24"/>
          <w:vertAlign w:val="superscript"/>
          <w:lang w:val="en-US"/>
        </w:rPr>
        <w:t>0</w:t>
      </w:r>
      <w:r w:rsidRPr="00BD765C">
        <w:rPr>
          <w:sz w:val="24"/>
          <w:szCs w:val="24"/>
          <w:lang w:val="en-US"/>
        </w:rPr>
        <w:t>C and 1460</w:t>
      </w:r>
      <w:r w:rsidRPr="00BD765C">
        <w:rPr>
          <w:sz w:val="24"/>
          <w:szCs w:val="24"/>
          <w:vertAlign w:val="superscript"/>
          <w:lang w:val="en-US"/>
        </w:rPr>
        <w:t>0</w:t>
      </w:r>
      <w:r w:rsidRPr="00BD765C">
        <w:rPr>
          <w:sz w:val="24"/>
          <w:szCs w:val="24"/>
          <w:lang w:val="en-US"/>
        </w:rPr>
        <w:t>C, respectively. Ultimate solubility of titanium in aluminum is as low as 0.26-0.28% and 0.07% at 665</w:t>
      </w:r>
      <w:r w:rsidRPr="00BD765C">
        <w:rPr>
          <w:sz w:val="24"/>
          <w:szCs w:val="24"/>
          <w:vertAlign w:val="superscript"/>
          <w:lang w:val="en-US"/>
        </w:rPr>
        <w:t>0</w:t>
      </w:r>
      <w:r w:rsidRPr="00BD765C">
        <w:rPr>
          <w:sz w:val="24"/>
          <w:szCs w:val="24"/>
          <w:lang w:val="en-US"/>
        </w:rPr>
        <w:t>C and at the room temperature, respectively. HIP DW allows for obtaining the titanium alloy-to-aluminum alloy joint at a temperature of 500-560</w:t>
      </w:r>
      <w:r w:rsidRPr="00BD765C">
        <w:rPr>
          <w:sz w:val="24"/>
          <w:szCs w:val="24"/>
          <w:vertAlign w:val="superscript"/>
          <w:lang w:val="en-US"/>
        </w:rPr>
        <w:t>0</w:t>
      </w:r>
      <w:r w:rsidRPr="00BD765C">
        <w:rPr>
          <w:sz w:val="24"/>
          <w:szCs w:val="24"/>
          <w:lang w:val="en-US"/>
        </w:rPr>
        <w:t>C without formation of the intermetallic in the contact zone. To increase the thin-walled bimetallic design serviceability it has been suggested that on the surface of titanium part a relief can be carried out as a thread profile having an identical radius of curvature equal to ½ height of the thread ledge with a base size equal to doubled height of the thread ledge [8]. The role of the relief is in obtaining a more developed surface in the contact zone and its activation due to intensity of the local shear deformation along the profile thread ledges and hollows and formation of the physical contact of the metals during HIP, which finally leads to increase in mechanical properties and tightness. The existence of curvatures causes lack of stress concentrators. The positive effect is reached when the relief period quantity is not less than two of them on the bimetallic design wall thickness (Fig</w:t>
      </w:r>
      <w:r w:rsidR="00F51CF2">
        <w:rPr>
          <w:sz w:val="24"/>
          <w:szCs w:val="24"/>
          <w:lang w:val="en-US"/>
        </w:rPr>
        <w:t>.</w:t>
      </w:r>
      <w:r w:rsidRPr="00BD765C">
        <w:rPr>
          <w:sz w:val="24"/>
          <w:szCs w:val="24"/>
          <w:lang w:val="en-US"/>
        </w:rPr>
        <w:t>9a). Shear strength (</w:t>
      </w:r>
      <w:r w:rsidRPr="00BD765C">
        <w:rPr>
          <w:sz w:val="24"/>
          <w:szCs w:val="24"/>
        </w:rPr>
        <w:t>τ</w:t>
      </w:r>
      <w:r w:rsidRPr="00BD765C">
        <w:rPr>
          <w:sz w:val="24"/>
          <w:szCs w:val="24"/>
          <w:lang w:val="en-US"/>
        </w:rPr>
        <w:t>s) of the samples with two relief periods is 119MPa, which is twice higher than that of the joint without relief (</w:t>
      </w:r>
      <w:r w:rsidRPr="00BD765C">
        <w:rPr>
          <w:sz w:val="24"/>
          <w:szCs w:val="24"/>
        </w:rPr>
        <w:t>τ</w:t>
      </w:r>
      <w:r w:rsidRPr="00BD765C">
        <w:rPr>
          <w:sz w:val="24"/>
          <w:szCs w:val="24"/>
          <w:lang w:val="en-US"/>
        </w:rPr>
        <w:t>s =58 MPa). Intermetallic phases are not detected in the contact zone microstructure (Fig</w:t>
      </w:r>
      <w:r w:rsidR="00F51CF2">
        <w:rPr>
          <w:sz w:val="24"/>
          <w:szCs w:val="24"/>
          <w:lang w:val="en-US"/>
        </w:rPr>
        <w:t>.</w:t>
      </w:r>
      <w:r w:rsidRPr="00BD765C">
        <w:rPr>
          <w:sz w:val="24"/>
          <w:szCs w:val="24"/>
          <w:lang w:val="en-US"/>
        </w:rPr>
        <w:t>9b).</w:t>
      </w: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7"/>
        <w:gridCol w:w="4388"/>
      </w:tblGrid>
      <w:tr w:rsidR="005E794F" w:rsidRPr="00BD765C" w:rsidTr="0065512F">
        <w:tc>
          <w:tcPr>
            <w:tcW w:w="4957" w:type="dxa"/>
            <w:vAlign w:val="center"/>
          </w:tcPr>
          <w:p w:rsidR="005E794F" w:rsidRPr="00BD765C" w:rsidRDefault="005E794F" w:rsidP="00F51CF2">
            <w:pPr>
              <w:spacing w:before="120"/>
              <w:ind w:firstLine="284"/>
              <w:jc w:val="center"/>
              <w:rPr>
                <w:rFonts w:ascii="Times New Roman" w:hAnsi="Times New Roman" w:cs="Times New Roman"/>
                <w:sz w:val="24"/>
                <w:szCs w:val="24"/>
              </w:rPr>
            </w:pPr>
            <w:r w:rsidRPr="00BD765C">
              <w:rPr>
                <w:noProof/>
                <w:sz w:val="24"/>
                <w:szCs w:val="24"/>
                <w:lang w:val="ru-RU" w:eastAsia="ru-RU"/>
              </w:rPr>
              <w:drawing>
                <wp:inline distT="0" distB="0" distL="0" distR="0" wp14:anchorId="35B6460F" wp14:editId="2CAA6E57">
                  <wp:extent cx="1732208" cy="648890"/>
                  <wp:effectExtent l="0" t="0" r="190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ГИП БМ рис9а.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733371" cy="649326"/>
                          </a:xfrm>
                          <a:prstGeom prst="rect">
                            <a:avLst/>
                          </a:prstGeom>
                        </pic:spPr>
                      </pic:pic>
                    </a:graphicData>
                  </a:graphic>
                </wp:inline>
              </w:drawing>
            </w:r>
            <w:r w:rsidRPr="00BD765C">
              <w:rPr>
                <w:rFonts w:ascii="Times New Roman" w:hAnsi="Times New Roman" w:cs="Times New Roman"/>
                <w:sz w:val="24"/>
                <w:szCs w:val="24"/>
                <w:lang w:val="en-US"/>
              </w:rPr>
              <w:t>a</w:t>
            </w:r>
          </w:p>
        </w:tc>
        <w:tc>
          <w:tcPr>
            <w:tcW w:w="4388" w:type="dxa"/>
          </w:tcPr>
          <w:p w:rsidR="005E794F" w:rsidRPr="00BD765C" w:rsidRDefault="005E794F" w:rsidP="00F51CF2">
            <w:pPr>
              <w:spacing w:before="120"/>
              <w:ind w:firstLine="284"/>
              <w:jc w:val="both"/>
              <w:rPr>
                <w:rFonts w:ascii="Times New Roman" w:hAnsi="Times New Roman" w:cs="Times New Roman"/>
                <w:sz w:val="24"/>
                <w:szCs w:val="24"/>
              </w:rPr>
            </w:pPr>
            <w:r w:rsidRPr="00BD765C">
              <w:rPr>
                <w:rFonts w:ascii="Times New Roman" w:hAnsi="Times New Roman" w:cs="Times New Roman"/>
                <w:noProof/>
                <w:sz w:val="24"/>
                <w:szCs w:val="24"/>
                <w:lang w:eastAsia="ru-RU"/>
              </w:rPr>
              <w:t xml:space="preserve"> </w:t>
            </w:r>
            <w:r w:rsidRPr="00BD765C">
              <w:rPr>
                <w:noProof/>
                <w:sz w:val="24"/>
                <w:szCs w:val="24"/>
                <w:lang w:val="ru-RU" w:eastAsia="ru-RU"/>
              </w:rPr>
              <w:drawing>
                <wp:inline distT="0" distB="0" distL="0" distR="0" wp14:anchorId="2157BE9F" wp14:editId="3E38AA63">
                  <wp:extent cx="1555698" cy="1165538"/>
                  <wp:effectExtent l="0" t="0" r="698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ГИП БМ рис9б.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572634" cy="1178227"/>
                          </a:xfrm>
                          <a:prstGeom prst="rect">
                            <a:avLst/>
                          </a:prstGeom>
                        </pic:spPr>
                      </pic:pic>
                    </a:graphicData>
                  </a:graphic>
                </wp:inline>
              </w:drawing>
            </w:r>
            <w:r w:rsidRPr="00BD765C">
              <w:rPr>
                <w:rFonts w:ascii="Times New Roman" w:hAnsi="Times New Roman" w:cs="Times New Roman"/>
                <w:noProof/>
                <w:sz w:val="24"/>
                <w:szCs w:val="24"/>
                <w:lang w:eastAsia="ru-RU"/>
              </w:rPr>
              <w:t xml:space="preserve"> </w:t>
            </w:r>
            <w:r w:rsidRPr="00BD765C">
              <w:rPr>
                <w:rFonts w:ascii="Times New Roman" w:hAnsi="Times New Roman" w:cs="Times New Roman"/>
                <w:noProof/>
                <w:sz w:val="24"/>
                <w:szCs w:val="24"/>
                <w:lang w:val="en-US" w:eastAsia="ru-RU"/>
              </w:rPr>
              <w:t>b</w:t>
            </w:r>
          </w:p>
        </w:tc>
      </w:tr>
    </w:tbl>
    <w:p w:rsidR="005E794F" w:rsidRPr="00BD765C" w:rsidRDefault="005E794F" w:rsidP="00F51CF2">
      <w:pPr>
        <w:pStyle w:val="ae"/>
        <w:autoSpaceDE w:val="0"/>
        <w:autoSpaceDN w:val="0"/>
        <w:adjustRightInd w:val="0"/>
        <w:spacing w:before="120" w:after="0" w:afterAutospacing="0"/>
        <w:ind w:left="0" w:firstLine="284"/>
        <w:rPr>
          <w:rFonts w:ascii="Times New Roman" w:hAnsi="Times New Roman" w:cs="Times New Roman"/>
          <w:sz w:val="24"/>
          <w:szCs w:val="24"/>
          <w:lang w:val="en-US"/>
        </w:rPr>
      </w:pPr>
      <w:r w:rsidRPr="00BD765C">
        <w:rPr>
          <w:rFonts w:ascii="Times New Roman" w:hAnsi="Times New Roman" w:cs="Times New Roman"/>
          <w:sz w:val="24"/>
          <w:szCs w:val="24"/>
          <w:lang w:val="en-US"/>
        </w:rPr>
        <w:t>Fig</w:t>
      </w:r>
      <w:r w:rsidR="00F51CF2">
        <w:rPr>
          <w:rFonts w:ascii="Times New Roman" w:hAnsi="Times New Roman" w:cs="Times New Roman"/>
          <w:sz w:val="24"/>
          <w:szCs w:val="24"/>
          <w:lang w:val="en-US"/>
        </w:rPr>
        <w:t>.</w:t>
      </w:r>
      <w:r w:rsidRPr="00BD765C">
        <w:rPr>
          <w:rFonts w:ascii="Times New Roman" w:hAnsi="Times New Roman" w:cs="Times New Roman"/>
          <w:sz w:val="24"/>
          <w:szCs w:val="24"/>
          <w:lang w:val="en-US"/>
        </w:rPr>
        <w:t xml:space="preserve">9 – Bimetallic </w:t>
      </w:r>
      <w:proofErr w:type="spellStart"/>
      <w:r w:rsidRPr="00BD765C">
        <w:rPr>
          <w:rFonts w:ascii="Times New Roman" w:hAnsi="Times New Roman" w:cs="Times New Roman"/>
          <w:sz w:val="24"/>
          <w:szCs w:val="24"/>
          <w:lang w:val="en-US"/>
        </w:rPr>
        <w:t>Ti</w:t>
      </w:r>
      <w:proofErr w:type="spellEnd"/>
      <w:r w:rsidRPr="00BD765C">
        <w:rPr>
          <w:rFonts w:ascii="Times New Roman" w:hAnsi="Times New Roman" w:cs="Times New Roman"/>
          <w:sz w:val="24"/>
          <w:szCs w:val="24"/>
          <w:lang w:val="en-US"/>
        </w:rPr>
        <w:t xml:space="preserve">-Al shear-test specimen (a), a micrograph of cross section of </w:t>
      </w:r>
      <w:proofErr w:type="spellStart"/>
      <w:r w:rsidRPr="00BD765C">
        <w:rPr>
          <w:rFonts w:ascii="Times New Roman" w:hAnsi="Times New Roman" w:cs="Times New Roman"/>
          <w:sz w:val="24"/>
          <w:szCs w:val="24"/>
          <w:lang w:val="en-US"/>
        </w:rPr>
        <w:t>Ti</w:t>
      </w:r>
      <w:proofErr w:type="spellEnd"/>
      <w:r w:rsidRPr="00BD765C">
        <w:rPr>
          <w:rFonts w:ascii="Times New Roman" w:hAnsi="Times New Roman" w:cs="Times New Roman"/>
          <w:sz w:val="24"/>
          <w:szCs w:val="24"/>
          <w:lang w:val="en-US"/>
        </w:rPr>
        <w:t>-Al bonding (b)</w:t>
      </w:r>
    </w:p>
    <w:p w:rsidR="005E794F" w:rsidRPr="00BD765C" w:rsidRDefault="005E794F" w:rsidP="00F51CF2">
      <w:pPr>
        <w:adjustRightInd w:val="0"/>
        <w:spacing w:before="120"/>
        <w:rPr>
          <w:b/>
          <w:sz w:val="24"/>
          <w:szCs w:val="24"/>
          <w:lang w:val="en-US"/>
        </w:rPr>
      </w:pPr>
      <w:r w:rsidRPr="00BD765C">
        <w:rPr>
          <w:b/>
          <w:sz w:val="24"/>
          <w:szCs w:val="24"/>
          <w:lang w:val="en-US"/>
        </w:rPr>
        <w:t>Conclusion</w:t>
      </w:r>
    </w:p>
    <w:p w:rsidR="005E794F" w:rsidRDefault="005E794F" w:rsidP="00F51CF2">
      <w:pPr>
        <w:adjustRightInd w:val="0"/>
        <w:spacing w:before="120"/>
        <w:ind w:firstLine="284"/>
        <w:jc w:val="both"/>
        <w:rPr>
          <w:sz w:val="24"/>
          <w:szCs w:val="24"/>
          <w:lang w:val="en-US"/>
        </w:rPr>
      </w:pPr>
      <w:r w:rsidRPr="00BD765C">
        <w:rPr>
          <w:sz w:val="24"/>
          <w:szCs w:val="24"/>
          <w:lang w:val="en-US"/>
        </w:rPr>
        <w:t>The HIP solid-state diffusion welding is a controlled production operation at all the processing stages. Unlike other known solid-state welding techniques the HIP allows for providing the strong and dense bonding with stability properties despite the area and configurations of the contact surfaces of materials welded.</w:t>
      </w:r>
    </w:p>
    <w:p w:rsidR="00F51CF2" w:rsidRDefault="00F51CF2" w:rsidP="00F51CF2">
      <w:pPr>
        <w:adjustRightInd w:val="0"/>
        <w:spacing w:before="120"/>
        <w:ind w:firstLine="284"/>
        <w:jc w:val="both"/>
        <w:rPr>
          <w:sz w:val="24"/>
          <w:szCs w:val="24"/>
          <w:lang w:val="en-US"/>
        </w:rPr>
      </w:pPr>
    </w:p>
    <w:p w:rsidR="00F51CF2" w:rsidRDefault="00F51CF2" w:rsidP="00BD765C">
      <w:pPr>
        <w:adjustRightInd w:val="0"/>
        <w:ind w:firstLine="709"/>
        <w:rPr>
          <w:b/>
          <w:sz w:val="24"/>
          <w:szCs w:val="24"/>
          <w:lang w:val="en-US"/>
        </w:rPr>
      </w:pPr>
    </w:p>
    <w:p w:rsidR="005E794F" w:rsidRPr="00BD765C" w:rsidRDefault="005E794F" w:rsidP="00F51CF2">
      <w:pPr>
        <w:adjustRightInd w:val="0"/>
        <w:rPr>
          <w:b/>
          <w:sz w:val="24"/>
          <w:szCs w:val="24"/>
          <w:lang w:val="en-US"/>
        </w:rPr>
      </w:pPr>
      <w:proofErr w:type="spellStart"/>
      <w:r w:rsidRPr="00BD765C">
        <w:rPr>
          <w:b/>
          <w:sz w:val="24"/>
          <w:szCs w:val="24"/>
          <w:lang w:val="en-US"/>
        </w:rPr>
        <w:lastRenderedPageBreak/>
        <w:t>Referenses</w:t>
      </w:r>
      <w:proofErr w:type="spellEnd"/>
    </w:p>
    <w:p w:rsidR="005E794F" w:rsidRPr="00BD765C" w:rsidRDefault="00ED5ABA" w:rsidP="00ED5ABA">
      <w:pPr>
        <w:adjustRightInd w:val="0"/>
        <w:spacing w:before="120"/>
        <w:jc w:val="both"/>
        <w:rPr>
          <w:sz w:val="24"/>
          <w:szCs w:val="24"/>
          <w:lang w:val="en-US"/>
        </w:rPr>
      </w:pPr>
      <w:r>
        <w:rPr>
          <w:sz w:val="24"/>
          <w:szCs w:val="24"/>
          <w:lang w:val="en-US"/>
        </w:rPr>
        <w:t>[</w:t>
      </w:r>
      <w:r w:rsidR="005E794F" w:rsidRPr="00BD765C">
        <w:rPr>
          <w:sz w:val="24"/>
          <w:szCs w:val="24"/>
          <w:lang w:val="en-US"/>
        </w:rPr>
        <w:t>1</w:t>
      </w:r>
      <w:r>
        <w:rPr>
          <w:sz w:val="24"/>
          <w:szCs w:val="24"/>
          <w:lang w:val="en-US"/>
        </w:rPr>
        <w:t>]</w:t>
      </w:r>
      <w:r w:rsidR="005E794F" w:rsidRPr="00BD765C">
        <w:rPr>
          <w:sz w:val="24"/>
          <w:szCs w:val="24"/>
          <w:lang w:val="en-US"/>
        </w:rPr>
        <w:tab/>
      </w:r>
      <w:r w:rsidRPr="00BD765C">
        <w:rPr>
          <w:sz w:val="24"/>
          <w:szCs w:val="24"/>
          <w:lang w:val="en-US"/>
        </w:rPr>
        <w:t xml:space="preserve">G. </w:t>
      </w:r>
      <w:proofErr w:type="spellStart"/>
      <w:proofErr w:type="gramStart"/>
      <w:r w:rsidRPr="00BD765C">
        <w:rPr>
          <w:sz w:val="24"/>
          <w:szCs w:val="24"/>
          <w:lang w:val="en-US"/>
        </w:rPr>
        <w:t>B.</w:t>
      </w:r>
      <w:r w:rsidR="005E794F" w:rsidRPr="00BD765C">
        <w:rPr>
          <w:sz w:val="24"/>
          <w:szCs w:val="24"/>
          <w:lang w:val="en-US"/>
        </w:rPr>
        <w:t>Konyushkov</w:t>
      </w:r>
      <w:proofErr w:type="spellEnd"/>
      <w:proofErr w:type="gramEnd"/>
      <w:r w:rsidR="005E794F" w:rsidRPr="00BD765C">
        <w:rPr>
          <w:sz w:val="24"/>
          <w:szCs w:val="24"/>
          <w:lang w:val="en-US"/>
        </w:rPr>
        <w:t xml:space="preserve">, </w:t>
      </w:r>
      <w:r w:rsidRPr="00BD765C">
        <w:rPr>
          <w:sz w:val="24"/>
          <w:szCs w:val="24"/>
          <w:lang w:val="en-US"/>
        </w:rPr>
        <w:t xml:space="preserve">R. A. </w:t>
      </w:r>
      <w:proofErr w:type="spellStart"/>
      <w:r w:rsidR="005E794F" w:rsidRPr="00BD765C">
        <w:rPr>
          <w:sz w:val="24"/>
          <w:szCs w:val="24"/>
          <w:lang w:val="en-US"/>
        </w:rPr>
        <w:t>Musin</w:t>
      </w:r>
      <w:proofErr w:type="spellEnd"/>
      <w:r>
        <w:rPr>
          <w:sz w:val="24"/>
          <w:szCs w:val="24"/>
          <w:lang w:val="en-US"/>
        </w:rPr>
        <w:t>,</w:t>
      </w:r>
      <w:r w:rsidR="005E794F" w:rsidRPr="00BD765C">
        <w:rPr>
          <w:sz w:val="24"/>
          <w:szCs w:val="24"/>
          <w:lang w:val="en-US"/>
        </w:rPr>
        <w:t xml:space="preserve"> Special Methods of Pressure Welding</w:t>
      </w:r>
      <w:r>
        <w:rPr>
          <w:sz w:val="24"/>
          <w:szCs w:val="24"/>
          <w:lang w:val="en-US"/>
        </w:rPr>
        <w:t>,</w:t>
      </w:r>
      <w:r w:rsidR="005E794F" w:rsidRPr="00BD765C">
        <w:rPr>
          <w:sz w:val="24"/>
          <w:szCs w:val="24"/>
          <w:lang w:val="en-US"/>
        </w:rPr>
        <w:t xml:space="preserve"> IPR-Media, </w:t>
      </w:r>
      <w:r>
        <w:rPr>
          <w:sz w:val="24"/>
          <w:szCs w:val="24"/>
          <w:lang w:val="en-US"/>
        </w:rPr>
        <w:t>Saratov,</w:t>
      </w:r>
      <w:r w:rsidR="005E794F" w:rsidRPr="00BD765C">
        <w:rPr>
          <w:sz w:val="24"/>
          <w:szCs w:val="24"/>
          <w:lang w:val="en-US"/>
        </w:rPr>
        <w:t>2009</w:t>
      </w:r>
      <w:r>
        <w:rPr>
          <w:sz w:val="24"/>
          <w:szCs w:val="24"/>
          <w:lang w:val="en-US"/>
        </w:rPr>
        <w:t>,</w:t>
      </w:r>
      <w:r w:rsidR="005E794F" w:rsidRPr="00BD765C">
        <w:rPr>
          <w:sz w:val="24"/>
          <w:szCs w:val="24"/>
          <w:lang w:val="en-US"/>
        </w:rPr>
        <w:t xml:space="preserve"> in Russian.</w:t>
      </w:r>
    </w:p>
    <w:p w:rsidR="005E794F" w:rsidRPr="00BD765C" w:rsidRDefault="00ED5ABA" w:rsidP="00ED5ABA">
      <w:pPr>
        <w:adjustRightInd w:val="0"/>
        <w:jc w:val="both"/>
        <w:rPr>
          <w:sz w:val="24"/>
          <w:szCs w:val="24"/>
          <w:lang w:val="en-US"/>
        </w:rPr>
      </w:pPr>
      <w:r>
        <w:rPr>
          <w:sz w:val="24"/>
          <w:szCs w:val="24"/>
          <w:lang w:val="en-US"/>
        </w:rPr>
        <w:t>[</w:t>
      </w:r>
      <w:r w:rsidR="005E794F" w:rsidRPr="00BD765C">
        <w:rPr>
          <w:sz w:val="24"/>
          <w:szCs w:val="24"/>
          <w:lang w:val="en-US"/>
        </w:rPr>
        <w:t>2</w:t>
      </w:r>
      <w:r>
        <w:rPr>
          <w:sz w:val="24"/>
          <w:szCs w:val="24"/>
          <w:lang w:val="en-US"/>
        </w:rPr>
        <w:t>]</w:t>
      </w:r>
      <w:r w:rsidR="005E794F" w:rsidRPr="00BD765C">
        <w:rPr>
          <w:sz w:val="24"/>
          <w:szCs w:val="24"/>
          <w:lang w:val="en-US"/>
        </w:rPr>
        <w:tab/>
      </w:r>
      <w:r w:rsidRPr="00BD765C">
        <w:rPr>
          <w:sz w:val="24"/>
          <w:szCs w:val="24"/>
          <w:lang w:val="en-US"/>
        </w:rPr>
        <w:t>B.S.</w:t>
      </w:r>
      <w:r>
        <w:rPr>
          <w:sz w:val="24"/>
          <w:szCs w:val="24"/>
          <w:lang w:val="en-US"/>
        </w:rPr>
        <w:t xml:space="preserve"> </w:t>
      </w:r>
      <w:proofErr w:type="spellStart"/>
      <w:r w:rsidR="005E794F" w:rsidRPr="00BD765C">
        <w:rPr>
          <w:sz w:val="24"/>
          <w:szCs w:val="24"/>
          <w:lang w:val="en-US"/>
        </w:rPr>
        <w:t>Bokstein</w:t>
      </w:r>
      <w:proofErr w:type="spellEnd"/>
      <w:r>
        <w:rPr>
          <w:sz w:val="24"/>
          <w:szCs w:val="24"/>
          <w:lang w:val="en-US"/>
        </w:rPr>
        <w:t>,</w:t>
      </w:r>
      <w:r w:rsidR="005E794F" w:rsidRPr="00BD765C">
        <w:rPr>
          <w:sz w:val="24"/>
          <w:szCs w:val="24"/>
          <w:lang w:val="en-US"/>
        </w:rPr>
        <w:t xml:space="preserve"> Diffusion in Metals</w:t>
      </w:r>
      <w:r>
        <w:rPr>
          <w:sz w:val="24"/>
          <w:szCs w:val="24"/>
          <w:lang w:val="en-US"/>
        </w:rPr>
        <w:t>,</w:t>
      </w:r>
      <w:r w:rsidR="005E794F" w:rsidRPr="00BD765C">
        <w:rPr>
          <w:sz w:val="24"/>
          <w:szCs w:val="24"/>
          <w:lang w:val="en-US"/>
        </w:rPr>
        <w:t xml:space="preserve"> Metallurgy, </w:t>
      </w:r>
      <w:r>
        <w:rPr>
          <w:sz w:val="24"/>
          <w:szCs w:val="24"/>
          <w:lang w:val="en-US"/>
        </w:rPr>
        <w:t>Moscow,</w:t>
      </w:r>
      <w:r w:rsidR="005E794F" w:rsidRPr="00BD765C">
        <w:rPr>
          <w:sz w:val="24"/>
          <w:szCs w:val="24"/>
          <w:lang w:val="en-US"/>
        </w:rPr>
        <w:t>1978</w:t>
      </w:r>
      <w:r>
        <w:rPr>
          <w:sz w:val="24"/>
          <w:szCs w:val="24"/>
          <w:lang w:val="en-US"/>
        </w:rPr>
        <w:t>,</w:t>
      </w:r>
      <w:r w:rsidR="005E794F" w:rsidRPr="00BD765C">
        <w:rPr>
          <w:sz w:val="24"/>
          <w:szCs w:val="24"/>
          <w:lang w:val="en-US"/>
        </w:rPr>
        <w:t xml:space="preserve"> in Russian.</w:t>
      </w:r>
    </w:p>
    <w:p w:rsidR="005E794F" w:rsidRPr="00BD765C" w:rsidRDefault="00ED5ABA" w:rsidP="00ED5ABA">
      <w:pPr>
        <w:adjustRightInd w:val="0"/>
        <w:jc w:val="both"/>
        <w:rPr>
          <w:sz w:val="24"/>
          <w:szCs w:val="24"/>
          <w:lang w:val="en-US"/>
        </w:rPr>
      </w:pPr>
      <w:r>
        <w:rPr>
          <w:sz w:val="24"/>
          <w:szCs w:val="24"/>
          <w:lang w:val="en-US"/>
        </w:rPr>
        <w:t>[</w:t>
      </w:r>
      <w:r w:rsidR="005E794F" w:rsidRPr="00BD765C">
        <w:rPr>
          <w:sz w:val="24"/>
          <w:szCs w:val="24"/>
          <w:lang w:val="en-US"/>
        </w:rPr>
        <w:t>3</w:t>
      </w:r>
      <w:r>
        <w:rPr>
          <w:sz w:val="24"/>
          <w:szCs w:val="24"/>
          <w:lang w:val="en-US"/>
        </w:rPr>
        <w:t>]</w:t>
      </w:r>
      <w:r w:rsidR="005E794F" w:rsidRPr="00BD765C">
        <w:rPr>
          <w:sz w:val="24"/>
          <w:szCs w:val="24"/>
          <w:lang w:val="en-US"/>
        </w:rPr>
        <w:tab/>
      </w:r>
      <w:r w:rsidRPr="00BD765C">
        <w:rPr>
          <w:sz w:val="24"/>
          <w:szCs w:val="24"/>
          <w:lang w:val="en-US"/>
        </w:rPr>
        <w:t>W.</w:t>
      </w:r>
      <w:r>
        <w:rPr>
          <w:sz w:val="24"/>
          <w:szCs w:val="24"/>
          <w:lang w:val="en-US"/>
        </w:rPr>
        <w:t xml:space="preserve"> </w:t>
      </w:r>
      <w:proofErr w:type="spellStart"/>
      <w:r w:rsidR="005E794F" w:rsidRPr="00BD765C">
        <w:rPr>
          <w:sz w:val="24"/>
          <w:szCs w:val="24"/>
          <w:lang w:val="en-US"/>
        </w:rPr>
        <w:t>Seith</w:t>
      </w:r>
      <w:proofErr w:type="spellEnd"/>
      <w:r>
        <w:rPr>
          <w:sz w:val="24"/>
          <w:szCs w:val="24"/>
          <w:lang w:val="en-US"/>
        </w:rPr>
        <w:t>,</w:t>
      </w:r>
      <w:r w:rsidR="005E794F" w:rsidRPr="00BD765C">
        <w:rPr>
          <w:sz w:val="24"/>
          <w:szCs w:val="24"/>
          <w:lang w:val="en-US"/>
        </w:rPr>
        <w:t xml:space="preserve"> Diffusion in Metals</w:t>
      </w:r>
      <w:r>
        <w:rPr>
          <w:sz w:val="24"/>
          <w:szCs w:val="24"/>
          <w:lang w:val="en-US"/>
        </w:rPr>
        <w:t xml:space="preserve">, </w:t>
      </w:r>
      <w:r w:rsidR="005E794F" w:rsidRPr="00BD765C">
        <w:rPr>
          <w:sz w:val="24"/>
          <w:szCs w:val="24"/>
          <w:lang w:val="en-US"/>
        </w:rPr>
        <w:t xml:space="preserve">Foreign Literature, </w:t>
      </w:r>
      <w:r>
        <w:rPr>
          <w:sz w:val="24"/>
          <w:szCs w:val="24"/>
          <w:lang w:val="en-US"/>
        </w:rPr>
        <w:t>Moscow,</w:t>
      </w:r>
      <w:r w:rsidR="005E794F" w:rsidRPr="00BD765C">
        <w:rPr>
          <w:sz w:val="24"/>
          <w:szCs w:val="24"/>
          <w:lang w:val="en-US"/>
        </w:rPr>
        <w:t>1958</w:t>
      </w:r>
      <w:r>
        <w:rPr>
          <w:sz w:val="24"/>
          <w:szCs w:val="24"/>
          <w:lang w:val="en-US"/>
        </w:rPr>
        <w:t>,</w:t>
      </w:r>
      <w:r w:rsidR="005E794F" w:rsidRPr="00BD765C">
        <w:rPr>
          <w:sz w:val="24"/>
          <w:szCs w:val="24"/>
          <w:lang w:val="en-US"/>
        </w:rPr>
        <w:t xml:space="preserve"> in Russian.</w:t>
      </w:r>
    </w:p>
    <w:p w:rsidR="005E794F" w:rsidRPr="00BD765C" w:rsidRDefault="00F64CB6" w:rsidP="00F64CB6">
      <w:pPr>
        <w:adjustRightInd w:val="0"/>
        <w:jc w:val="both"/>
        <w:rPr>
          <w:sz w:val="24"/>
          <w:szCs w:val="24"/>
          <w:lang w:val="en-US"/>
        </w:rPr>
      </w:pPr>
      <w:r>
        <w:rPr>
          <w:sz w:val="24"/>
          <w:szCs w:val="24"/>
          <w:lang w:val="en-US"/>
        </w:rPr>
        <w:t>[</w:t>
      </w:r>
      <w:r w:rsidR="005E794F" w:rsidRPr="00BD765C">
        <w:rPr>
          <w:sz w:val="24"/>
          <w:szCs w:val="24"/>
          <w:lang w:val="en-US"/>
        </w:rPr>
        <w:t>4</w:t>
      </w:r>
      <w:r>
        <w:rPr>
          <w:sz w:val="24"/>
          <w:szCs w:val="24"/>
          <w:lang w:val="en-US"/>
        </w:rPr>
        <w:t>]</w:t>
      </w:r>
      <w:r w:rsidR="005E794F" w:rsidRPr="00BD765C">
        <w:rPr>
          <w:sz w:val="24"/>
          <w:szCs w:val="24"/>
          <w:lang w:val="en-US"/>
        </w:rPr>
        <w:tab/>
      </w:r>
      <w:r w:rsidRPr="00BD765C">
        <w:rPr>
          <w:sz w:val="24"/>
          <w:szCs w:val="24"/>
          <w:lang w:val="en-US"/>
        </w:rPr>
        <w:t>A.S.</w:t>
      </w:r>
      <w:r>
        <w:rPr>
          <w:sz w:val="24"/>
          <w:szCs w:val="24"/>
          <w:lang w:val="en-US"/>
        </w:rPr>
        <w:t xml:space="preserve"> </w:t>
      </w:r>
      <w:proofErr w:type="spellStart"/>
      <w:r w:rsidR="005E794F" w:rsidRPr="00BD765C">
        <w:rPr>
          <w:sz w:val="24"/>
          <w:szCs w:val="24"/>
          <w:lang w:val="en-US"/>
        </w:rPr>
        <w:t>Klyatskin</w:t>
      </w:r>
      <w:proofErr w:type="spellEnd"/>
      <w:r w:rsidR="005E794F" w:rsidRPr="00BD765C">
        <w:rPr>
          <w:sz w:val="24"/>
          <w:szCs w:val="24"/>
          <w:lang w:val="en-US"/>
        </w:rPr>
        <w:t xml:space="preserve">, </w:t>
      </w:r>
      <w:r w:rsidRPr="00BD765C">
        <w:rPr>
          <w:sz w:val="24"/>
          <w:szCs w:val="24"/>
          <w:lang w:val="en-US"/>
        </w:rPr>
        <w:t>V.N.</w:t>
      </w:r>
      <w:r>
        <w:rPr>
          <w:sz w:val="24"/>
          <w:szCs w:val="24"/>
          <w:lang w:val="en-US"/>
        </w:rPr>
        <w:t xml:space="preserve"> </w:t>
      </w:r>
      <w:r w:rsidR="005E794F" w:rsidRPr="00BD765C">
        <w:rPr>
          <w:sz w:val="24"/>
          <w:szCs w:val="24"/>
          <w:lang w:val="en-US"/>
        </w:rPr>
        <w:t xml:space="preserve">Denisov, </w:t>
      </w:r>
      <w:r w:rsidRPr="00BD765C">
        <w:rPr>
          <w:sz w:val="24"/>
          <w:szCs w:val="24"/>
          <w:lang w:val="en-US"/>
        </w:rPr>
        <w:t xml:space="preserve">V.N. </w:t>
      </w:r>
      <w:proofErr w:type="spellStart"/>
      <w:r w:rsidR="005E794F" w:rsidRPr="00BD765C">
        <w:rPr>
          <w:sz w:val="24"/>
          <w:szCs w:val="24"/>
          <w:lang w:val="en-US"/>
        </w:rPr>
        <w:t>Butrim</w:t>
      </w:r>
      <w:proofErr w:type="spellEnd"/>
      <w:r w:rsidR="005E794F" w:rsidRPr="00BD765C">
        <w:rPr>
          <w:sz w:val="24"/>
          <w:szCs w:val="24"/>
          <w:lang w:val="en-US"/>
        </w:rPr>
        <w:t xml:space="preserve"> [etc.]</w:t>
      </w:r>
      <w:r>
        <w:rPr>
          <w:sz w:val="24"/>
          <w:szCs w:val="24"/>
          <w:lang w:val="en-US"/>
        </w:rPr>
        <w:t>,</w:t>
      </w:r>
      <w:r w:rsidR="005E794F" w:rsidRPr="00BD765C">
        <w:rPr>
          <w:sz w:val="24"/>
          <w:szCs w:val="24"/>
          <w:lang w:val="en-US"/>
        </w:rPr>
        <w:t xml:space="preserve"> HIP Diffusion Welding</w:t>
      </w:r>
      <w:r>
        <w:rPr>
          <w:sz w:val="24"/>
          <w:szCs w:val="24"/>
          <w:lang w:val="en-US"/>
        </w:rPr>
        <w:t>,</w:t>
      </w:r>
      <w:r w:rsidR="005E794F" w:rsidRPr="00BD765C">
        <w:rPr>
          <w:sz w:val="24"/>
          <w:szCs w:val="24"/>
          <w:lang w:val="en-US"/>
        </w:rPr>
        <w:t xml:space="preserve"> Perspective materials</w:t>
      </w:r>
      <w:r w:rsidRPr="00F64CB6">
        <w:rPr>
          <w:sz w:val="24"/>
          <w:szCs w:val="24"/>
          <w:lang w:val="en-US"/>
        </w:rPr>
        <w:t xml:space="preserve"> </w:t>
      </w:r>
      <w:r w:rsidRPr="00BD765C">
        <w:rPr>
          <w:sz w:val="24"/>
          <w:szCs w:val="24"/>
          <w:lang w:val="en-US"/>
        </w:rPr>
        <w:t>11</w:t>
      </w:r>
      <w:r w:rsidR="005E794F" w:rsidRPr="00BD765C">
        <w:rPr>
          <w:sz w:val="24"/>
          <w:szCs w:val="24"/>
          <w:lang w:val="en-US"/>
        </w:rPr>
        <w:t xml:space="preserve"> </w:t>
      </w:r>
      <w:r>
        <w:rPr>
          <w:sz w:val="24"/>
          <w:szCs w:val="24"/>
          <w:lang w:val="en-US"/>
        </w:rPr>
        <w:t>(</w:t>
      </w:r>
      <w:r w:rsidR="005E794F" w:rsidRPr="00BD765C">
        <w:rPr>
          <w:sz w:val="24"/>
          <w:szCs w:val="24"/>
          <w:lang w:val="en-US"/>
        </w:rPr>
        <w:t>2011</w:t>
      </w:r>
      <w:r>
        <w:rPr>
          <w:sz w:val="24"/>
          <w:szCs w:val="24"/>
          <w:lang w:val="en-US"/>
        </w:rPr>
        <w:t>)</w:t>
      </w:r>
      <w:r w:rsidR="005E794F" w:rsidRPr="00BD765C">
        <w:rPr>
          <w:sz w:val="24"/>
          <w:szCs w:val="24"/>
          <w:lang w:val="en-US"/>
        </w:rPr>
        <w:t xml:space="preserve"> 362-369</w:t>
      </w:r>
      <w:r>
        <w:rPr>
          <w:sz w:val="24"/>
          <w:szCs w:val="24"/>
          <w:lang w:val="en-US"/>
        </w:rPr>
        <w:t>,</w:t>
      </w:r>
      <w:r w:rsidR="005E794F" w:rsidRPr="00BD765C">
        <w:rPr>
          <w:sz w:val="24"/>
          <w:szCs w:val="24"/>
          <w:lang w:val="en-US"/>
        </w:rPr>
        <w:t xml:space="preserve"> in Russian</w:t>
      </w:r>
    </w:p>
    <w:p w:rsidR="005E794F" w:rsidRPr="00BD765C" w:rsidRDefault="00F16432" w:rsidP="00F16432">
      <w:pPr>
        <w:adjustRightInd w:val="0"/>
        <w:jc w:val="both"/>
        <w:rPr>
          <w:sz w:val="24"/>
          <w:szCs w:val="24"/>
          <w:lang w:val="en-US"/>
        </w:rPr>
      </w:pPr>
      <w:r>
        <w:rPr>
          <w:sz w:val="24"/>
          <w:szCs w:val="24"/>
          <w:lang w:val="en-US"/>
        </w:rPr>
        <w:t>[</w:t>
      </w:r>
      <w:r w:rsidR="005E794F" w:rsidRPr="00BD765C">
        <w:rPr>
          <w:sz w:val="24"/>
          <w:szCs w:val="24"/>
          <w:lang w:val="en-US"/>
        </w:rPr>
        <w:t>5</w:t>
      </w:r>
      <w:r>
        <w:rPr>
          <w:sz w:val="24"/>
          <w:szCs w:val="24"/>
          <w:lang w:val="en-US"/>
        </w:rPr>
        <w:t>]</w:t>
      </w:r>
      <w:r w:rsidR="005E794F" w:rsidRPr="00BD765C">
        <w:rPr>
          <w:sz w:val="24"/>
          <w:szCs w:val="24"/>
          <w:lang w:val="en-US"/>
        </w:rPr>
        <w:tab/>
      </w:r>
      <w:r w:rsidRPr="00BD765C">
        <w:rPr>
          <w:sz w:val="24"/>
          <w:szCs w:val="24"/>
          <w:lang w:val="en-US"/>
        </w:rPr>
        <w:t xml:space="preserve">N. F. </w:t>
      </w:r>
      <w:proofErr w:type="spellStart"/>
      <w:r w:rsidR="005E794F" w:rsidRPr="00BD765C">
        <w:rPr>
          <w:sz w:val="24"/>
          <w:szCs w:val="24"/>
          <w:lang w:val="en-US"/>
        </w:rPr>
        <w:t>Kazakov</w:t>
      </w:r>
      <w:proofErr w:type="spellEnd"/>
      <w:r>
        <w:rPr>
          <w:sz w:val="24"/>
          <w:szCs w:val="24"/>
          <w:lang w:val="en-US"/>
        </w:rPr>
        <w:t>,</w:t>
      </w:r>
      <w:r w:rsidR="005E794F" w:rsidRPr="00BD765C">
        <w:rPr>
          <w:sz w:val="24"/>
          <w:szCs w:val="24"/>
          <w:lang w:val="en-US"/>
        </w:rPr>
        <w:t xml:space="preserve"> Diffusion Welding of Metals</w:t>
      </w:r>
      <w:r>
        <w:rPr>
          <w:sz w:val="24"/>
          <w:szCs w:val="24"/>
          <w:lang w:val="en-US"/>
        </w:rPr>
        <w:t>,</w:t>
      </w:r>
      <w:r w:rsidR="005E794F" w:rsidRPr="00BD765C">
        <w:rPr>
          <w:sz w:val="24"/>
          <w:szCs w:val="24"/>
          <w:lang w:val="en-US"/>
        </w:rPr>
        <w:t xml:space="preserve"> </w:t>
      </w:r>
      <w:proofErr w:type="spellStart"/>
      <w:r w:rsidR="005E794F" w:rsidRPr="00BD765C">
        <w:rPr>
          <w:sz w:val="24"/>
          <w:szCs w:val="24"/>
          <w:lang w:val="en-US"/>
        </w:rPr>
        <w:t>Mashinostroenie</w:t>
      </w:r>
      <w:proofErr w:type="spellEnd"/>
      <w:r w:rsidR="005E794F" w:rsidRPr="00BD765C">
        <w:rPr>
          <w:sz w:val="24"/>
          <w:szCs w:val="24"/>
          <w:lang w:val="en-US"/>
        </w:rPr>
        <w:t xml:space="preserve">, </w:t>
      </w:r>
      <w:r>
        <w:rPr>
          <w:sz w:val="24"/>
          <w:szCs w:val="24"/>
          <w:lang w:val="en-US"/>
        </w:rPr>
        <w:t>Moscow,</w:t>
      </w:r>
      <w:r w:rsidR="005E794F" w:rsidRPr="00BD765C">
        <w:rPr>
          <w:sz w:val="24"/>
          <w:szCs w:val="24"/>
          <w:lang w:val="en-US"/>
        </w:rPr>
        <w:t>1981</w:t>
      </w:r>
      <w:r>
        <w:rPr>
          <w:sz w:val="24"/>
          <w:szCs w:val="24"/>
          <w:lang w:val="en-US"/>
        </w:rPr>
        <w:t>,</w:t>
      </w:r>
      <w:r w:rsidR="005E794F" w:rsidRPr="00BD765C">
        <w:rPr>
          <w:sz w:val="24"/>
          <w:szCs w:val="24"/>
          <w:lang w:val="en-US"/>
        </w:rPr>
        <w:t xml:space="preserve"> in Russian.</w:t>
      </w:r>
    </w:p>
    <w:p w:rsidR="005E794F" w:rsidRPr="00BD765C" w:rsidRDefault="00BF3BA8" w:rsidP="00BF3BA8">
      <w:pPr>
        <w:jc w:val="both"/>
        <w:rPr>
          <w:sz w:val="24"/>
          <w:szCs w:val="24"/>
          <w:lang w:val="en-US"/>
        </w:rPr>
      </w:pPr>
      <w:r>
        <w:rPr>
          <w:sz w:val="24"/>
          <w:szCs w:val="24"/>
          <w:lang w:val="en-US"/>
        </w:rPr>
        <w:t>[</w:t>
      </w:r>
      <w:r w:rsidR="005E794F" w:rsidRPr="00BD765C">
        <w:rPr>
          <w:sz w:val="24"/>
          <w:szCs w:val="24"/>
          <w:lang w:val="en-US"/>
        </w:rPr>
        <w:t>6</w:t>
      </w:r>
      <w:r>
        <w:rPr>
          <w:sz w:val="24"/>
          <w:szCs w:val="24"/>
          <w:lang w:val="en-US"/>
        </w:rPr>
        <w:t>]</w:t>
      </w:r>
      <w:r w:rsidR="005E794F" w:rsidRPr="00BD765C">
        <w:rPr>
          <w:sz w:val="24"/>
          <w:szCs w:val="24"/>
          <w:lang w:val="en-US"/>
        </w:rPr>
        <w:tab/>
      </w:r>
      <w:r w:rsidRPr="00BD765C">
        <w:rPr>
          <w:sz w:val="24"/>
          <w:szCs w:val="24"/>
          <w:lang w:val="en-US"/>
        </w:rPr>
        <w:t>V.N.</w:t>
      </w:r>
      <w:r>
        <w:rPr>
          <w:sz w:val="24"/>
          <w:szCs w:val="24"/>
          <w:lang w:val="en-US"/>
        </w:rPr>
        <w:t xml:space="preserve"> </w:t>
      </w:r>
      <w:r w:rsidRPr="00BD765C">
        <w:rPr>
          <w:sz w:val="24"/>
          <w:szCs w:val="24"/>
          <w:lang w:val="en-US"/>
        </w:rPr>
        <w:t>Denisov,</w:t>
      </w:r>
      <w:r w:rsidRPr="00BF3BA8">
        <w:rPr>
          <w:sz w:val="24"/>
          <w:szCs w:val="24"/>
          <w:lang w:val="en-US"/>
        </w:rPr>
        <w:t xml:space="preserve"> </w:t>
      </w:r>
      <w:r w:rsidRPr="00BD765C">
        <w:rPr>
          <w:sz w:val="24"/>
          <w:szCs w:val="24"/>
          <w:lang w:val="en-US"/>
        </w:rPr>
        <w:t>A.S.</w:t>
      </w:r>
      <w:r>
        <w:rPr>
          <w:sz w:val="24"/>
          <w:szCs w:val="24"/>
          <w:lang w:val="en-US"/>
        </w:rPr>
        <w:t xml:space="preserve"> </w:t>
      </w:r>
      <w:proofErr w:type="spellStart"/>
      <w:r w:rsidRPr="00BD765C">
        <w:rPr>
          <w:sz w:val="24"/>
          <w:szCs w:val="24"/>
          <w:lang w:val="en-US"/>
        </w:rPr>
        <w:t>Klyatskin</w:t>
      </w:r>
      <w:proofErr w:type="spellEnd"/>
      <w:r w:rsidRPr="00BD765C">
        <w:rPr>
          <w:sz w:val="24"/>
          <w:szCs w:val="24"/>
          <w:lang w:val="en-US"/>
        </w:rPr>
        <w:t xml:space="preserve">, V.N. </w:t>
      </w:r>
      <w:proofErr w:type="spellStart"/>
      <w:r w:rsidRPr="00BD765C">
        <w:rPr>
          <w:sz w:val="24"/>
          <w:szCs w:val="24"/>
          <w:lang w:val="en-US"/>
        </w:rPr>
        <w:t>Butrim</w:t>
      </w:r>
      <w:proofErr w:type="spellEnd"/>
      <w:r>
        <w:rPr>
          <w:sz w:val="24"/>
          <w:szCs w:val="24"/>
          <w:lang w:val="en-US"/>
        </w:rPr>
        <w:t xml:space="preserve"> </w:t>
      </w:r>
      <w:r w:rsidRPr="00BD765C">
        <w:rPr>
          <w:sz w:val="24"/>
          <w:szCs w:val="24"/>
          <w:lang w:val="en-US"/>
        </w:rPr>
        <w:t>[</w:t>
      </w:r>
      <w:proofErr w:type="spellStart"/>
      <w:r w:rsidRPr="00BD765C">
        <w:rPr>
          <w:sz w:val="24"/>
          <w:szCs w:val="24"/>
          <w:lang w:val="en-US"/>
        </w:rPr>
        <w:t>etc</w:t>
      </w:r>
      <w:proofErr w:type="spellEnd"/>
      <w:r w:rsidRPr="00BD765C">
        <w:rPr>
          <w:sz w:val="24"/>
          <w:szCs w:val="24"/>
          <w:lang w:val="en-US"/>
        </w:rPr>
        <w:t>]</w:t>
      </w:r>
      <w:r>
        <w:rPr>
          <w:sz w:val="24"/>
          <w:szCs w:val="24"/>
          <w:lang w:val="en-US"/>
        </w:rPr>
        <w:t>,</w:t>
      </w:r>
      <w:r w:rsidRPr="00BD765C">
        <w:rPr>
          <w:sz w:val="24"/>
          <w:szCs w:val="24"/>
          <w:lang w:val="en-US"/>
        </w:rPr>
        <w:t xml:space="preserve"> RU</w:t>
      </w:r>
      <w:r>
        <w:rPr>
          <w:sz w:val="24"/>
          <w:szCs w:val="24"/>
          <w:lang w:val="en-US"/>
        </w:rPr>
        <w:t xml:space="preserve"> P</w:t>
      </w:r>
      <w:r w:rsidR="005E794F" w:rsidRPr="00BD765C">
        <w:rPr>
          <w:sz w:val="24"/>
          <w:szCs w:val="24"/>
          <w:lang w:val="en-US"/>
        </w:rPr>
        <w:t>atent 2612331</w:t>
      </w:r>
      <w:r>
        <w:rPr>
          <w:sz w:val="24"/>
          <w:szCs w:val="24"/>
          <w:lang w:val="en-US"/>
        </w:rPr>
        <w:t xml:space="preserve"> (</w:t>
      </w:r>
      <w:r w:rsidR="005E794F" w:rsidRPr="00BD765C">
        <w:rPr>
          <w:sz w:val="24"/>
          <w:szCs w:val="24"/>
          <w:lang w:val="en-US"/>
        </w:rPr>
        <w:t>2017</w:t>
      </w:r>
      <w:r>
        <w:rPr>
          <w:sz w:val="24"/>
          <w:szCs w:val="24"/>
          <w:lang w:val="en-US"/>
        </w:rPr>
        <w:t>)</w:t>
      </w:r>
      <w:r w:rsidR="005E794F" w:rsidRPr="00BD765C">
        <w:rPr>
          <w:sz w:val="24"/>
          <w:szCs w:val="24"/>
          <w:lang w:val="en-US"/>
        </w:rPr>
        <w:t>.</w:t>
      </w:r>
    </w:p>
    <w:p w:rsidR="005E794F" w:rsidRPr="00BD765C" w:rsidRDefault="00BF3BA8" w:rsidP="00BF3BA8">
      <w:pPr>
        <w:adjustRightInd w:val="0"/>
        <w:jc w:val="both"/>
        <w:rPr>
          <w:sz w:val="24"/>
          <w:szCs w:val="24"/>
          <w:lang w:val="en-US"/>
        </w:rPr>
      </w:pPr>
      <w:r>
        <w:rPr>
          <w:sz w:val="24"/>
          <w:szCs w:val="24"/>
          <w:lang w:val="en-US"/>
        </w:rPr>
        <w:t>[</w:t>
      </w:r>
      <w:r w:rsidR="005E794F" w:rsidRPr="00BD765C">
        <w:rPr>
          <w:sz w:val="24"/>
          <w:szCs w:val="24"/>
          <w:lang w:val="en-US"/>
        </w:rPr>
        <w:t>7</w:t>
      </w:r>
      <w:r>
        <w:rPr>
          <w:sz w:val="24"/>
          <w:szCs w:val="24"/>
          <w:lang w:val="en-US"/>
        </w:rPr>
        <w:t>]</w:t>
      </w:r>
      <w:r w:rsidR="005E794F" w:rsidRPr="00BD765C">
        <w:rPr>
          <w:sz w:val="24"/>
          <w:szCs w:val="24"/>
          <w:lang w:val="en-US"/>
        </w:rPr>
        <w:tab/>
      </w:r>
      <w:r w:rsidRPr="00BD765C">
        <w:rPr>
          <w:sz w:val="24"/>
          <w:szCs w:val="24"/>
          <w:lang w:val="en-US"/>
        </w:rPr>
        <w:t>V.N.</w:t>
      </w:r>
      <w:r>
        <w:rPr>
          <w:sz w:val="24"/>
          <w:szCs w:val="24"/>
          <w:lang w:val="en-US"/>
        </w:rPr>
        <w:t xml:space="preserve"> </w:t>
      </w:r>
      <w:r w:rsidRPr="00BD765C">
        <w:rPr>
          <w:sz w:val="24"/>
          <w:szCs w:val="24"/>
          <w:lang w:val="en-US"/>
        </w:rPr>
        <w:t>Denisov,</w:t>
      </w:r>
      <w:r w:rsidRPr="00BF3BA8">
        <w:rPr>
          <w:sz w:val="24"/>
          <w:szCs w:val="24"/>
          <w:lang w:val="en-US"/>
        </w:rPr>
        <w:t xml:space="preserve"> </w:t>
      </w:r>
      <w:r w:rsidRPr="00BD765C">
        <w:rPr>
          <w:sz w:val="24"/>
          <w:szCs w:val="24"/>
          <w:lang w:val="en-US"/>
        </w:rPr>
        <w:t>A.S.</w:t>
      </w:r>
      <w:r>
        <w:rPr>
          <w:sz w:val="24"/>
          <w:szCs w:val="24"/>
          <w:lang w:val="en-US"/>
        </w:rPr>
        <w:t xml:space="preserve"> </w:t>
      </w:r>
      <w:proofErr w:type="spellStart"/>
      <w:r w:rsidRPr="00BD765C">
        <w:rPr>
          <w:sz w:val="24"/>
          <w:szCs w:val="24"/>
          <w:lang w:val="en-US"/>
        </w:rPr>
        <w:t>Klyatskin</w:t>
      </w:r>
      <w:proofErr w:type="spellEnd"/>
      <w:r w:rsidRPr="00BD765C">
        <w:rPr>
          <w:sz w:val="24"/>
          <w:szCs w:val="24"/>
          <w:lang w:val="en-US"/>
        </w:rPr>
        <w:t xml:space="preserve">, V.N. </w:t>
      </w:r>
      <w:proofErr w:type="spellStart"/>
      <w:r w:rsidRPr="00BD765C">
        <w:rPr>
          <w:sz w:val="24"/>
          <w:szCs w:val="24"/>
          <w:lang w:val="en-US"/>
        </w:rPr>
        <w:t>Butrim</w:t>
      </w:r>
      <w:proofErr w:type="spellEnd"/>
      <w:r>
        <w:rPr>
          <w:sz w:val="24"/>
          <w:szCs w:val="24"/>
          <w:lang w:val="en-US"/>
        </w:rPr>
        <w:t xml:space="preserve"> </w:t>
      </w:r>
      <w:r w:rsidRPr="00BD765C">
        <w:rPr>
          <w:sz w:val="24"/>
          <w:szCs w:val="24"/>
          <w:lang w:val="en-US"/>
        </w:rPr>
        <w:t>[</w:t>
      </w:r>
      <w:proofErr w:type="spellStart"/>
      <w:r w:rsidRPr="00BD765C">
        <w:rPr>
          <w:sz w:val="24"/>
          <w:szCs w:val="24"/>
          <w:lang w:val="en-US"/>
        </w:rPr>
        <w:t>etc</w:t>
      </w:r>
      <w:proofErr w:type="spellEnd"/>
      <w:r w:rsidRPr="00BD765C">
        <w:rPr>
          <w:sz w:val="24"/>
          <w:szCs w:val="24"/>
          <w:lang w:val="en-US"/>
        </w:rPr>
        <w:t>]</w:t>
      </w:r>
      <w:r>
        <w:rPr>
          <w:sz w:val="24"/>
          <w:szCs w:val="24"/>
          <w:lang w:val="en-US"/>
        </w:rPr>
        <w:t>,</w:t>
      </w:r>
      <w:r w:rsidRPr="00BD765C">
        <w:rPr>
          <w:sz w:val="24"/>
          <w:szCs w:val="24"/>
          <w:lang w:val="en-US"/>
        </w:rPr>
        <w:t xml:space="preserve"> </w:t>
      </w:r>
      <w:r w:rsidR="005E794F" w:rsidRPr="00BD765C">
        <w:rPr>
          <w:sz w:val="24"/>
          <w:szCs w:val="24"/>
          <w:lang w:val="en-US"/>
        </w:rPr>
        <w:t>Producing Composite Single-Crystal Molybdenum Mirrors by Diffusion Welding in the Hot Isostatic Pressing Conditions</w:t>
      </w:r>
      <w:r>
        <w:rPr>
          <w:sz w:val="24"/>
          <w:szCs w:val="24"/>
          <w:lang w:val="en-US"/>
        </w:rPr>
        <w:t>,</w:t>
      </w:r>
      <w:r w:rsidR="005E794F" w:rsidRPr="00BD765C">
        <w:rPr>
          <w:sz w:val="24"/>
          <w:szCs w:val="24"/>
          <w:lang w:val="en-US"/>
        </w:rPr>
        <w:t xml:space="preserve"> Welding International, </w:t>
      </w:r>
      <w:r>
        <w:rPr>
          <w:sz w:val="24"/>
          <w:szCs w:val="24"/>
          <w:lang w:val="en-US"/>
        </w:rPr>
        <w:t>7</w:t>
      </w:r>
      <w:r w:rsidR="005E794F" w:rsidRPr="00BD765C">
        <w:rPr>
          <w:sz w:val="24"/>
          <w:szCs w:val="24"/>
          <w:lang w:val="en-US"/>
        </w:rPr>
        <w:t xml:space="preserve">, </w:t>
      </w:r>
      <w:r>
        <w:rPr>
          <w:sz w:val="24"/>
          <w:szCs w:val="24"/>
          <w:lang w:val="en-US"/>
        </w:rPr>
        <w:t>(</w:t>
      </w:r>
      <w:r w:rsidRPr="00BD765C">
        <w:rPr>
          <w:sz w:val="24"/>
          <w:szCs w:val="24"/>
          <w:lang w:val="en-US"/>
        </w:rPr>
        <w:t>2017</w:t>
      </w:r>
      <w:r>
        <w:rPr>
          <w:sz w:val="24"/>
          <w:szCs w:val="24"/>
          <w:lang w:val="en-US"/>
        </w:rPr>
        <w:t>)</w:t>
      </w:r>
      <w:r w:rsidR="005E794F" w:rsidRPr="00BD765C">
        <w:rPr>
          <w:sz w:val="24"/>
          <w:szCs w:val="24"/>
          <w:lang w:val="en-US"/>
        </w:rPr>
        <w:t xml:space="preserve"> 1-6</w:t>
      </w:r>
    </w:p>
    <w:p w:rsidR="00BD765C" w:rsidRDefault="00BF3BA8" w:rsidP="000B60A0">
      <w:pPr>
        <w:jc w:val="both"/>
      </w:pPr>
      <w:r>
        <w:rPr>
          <w:sz w:val="24"/>
          <w:szCs w:val="24"/>
          <w:lang w:val="en-US"/>
        </w:rPr>
        <w:t>[</w:t>
      </w:r>
      <w:r w:rsidR="005E794F" w:rsidRPr="00BD765C">
        <w:rPr>
          <w:sz w:val="24"/>
          <w:szCs w:val="24"/>
          <w:lang w:val="en-US"/>
        </w:rPr>
        <w:t>8</w:t>
      </w:r>
      <w:r>
        <w:rPr>
          <w:sz w:val="24"/>
          <w:szCs w:val="24"/>
          <w:lang w:val="en-US"/>
        </w:rPr>
        <w:t>]</w:t>
      </w:r>
      <w:r w:rsidR="005E794F" w:rsidRPr="00BD765C">
        <w:rPr>
          <w:sz w:val="24"/>
          <w:szCs w:val="24"/>
          <w:lang w:val="en-US"/>
        </w:rPr>
        <w:tab/>
      </w:r>
      <w:r w:rsidRPr="00BD765C">
        <w:rPr>
          <w:sz w:val="24"/>
          <w:szCs w:val="24"/>
          <w:lang w:val="en-US"/>
        </w:rPr>
        <w:t>V.N.</w:t>
      </w:r>
      <w:r>
        <w:rPr>
          <w:sz w:val="24"/>
          <w:szCs w:val="24"/>
          <w:lang w:val="en-US"/>
        </w:rPr>
        <w:t xml:space="preserve"> </w:t>
      </w:r>
      <w:r w:rsidRPr="00BD765C">
        <w:rPr>
          <w:sz w:val="24"/>
          <w:szCs w:val="24"/>
          <w:lang w:val="en-US"/>
        </w:rPr>
        <w:t>Denisov,</w:t>
      </w:r>
      <w:r w:rsidRPr="00BF3BA8">
        <w:rPr>
          <w:sz w:val="24"/>
          <w:szCs w:val="24"/>
          <w:lang w:val="en-US"/>
        </w:rPr>
        <w:t xml:space="preserve"> </w:t>
      </w:r>
      <w:r w:rsidRPr="00BD765C">
        <w:rPr>
          <w:sz w:val="24"/>
          <w:szCs w:val="24"/>
          <w:lang w:val="en-US"/>
        </w:rPr>
        <w:t>A.S.</w:t>
      </w:r>
      <w:r>
        <w:rPr>
          <w:sz w:val="24"/>
          <w:szCs w:val="24"/>
          <w:lang w:val="en-US"/>
        </w:rPr>
        <w:t xml:space="preserve"> </w:t>
      </w:r>
      <w:proofErr w:type="spellStart"/>
      <w:r w:rsidRPr="00BD765C">
        <w:rPr>
          <w:sz w:val="24"/>
          <w:szCs w:val="24"/>
          <w:lang w:val="en-US"/>
        </w:rPr>
        <w:t>Klyatskin</w:t>
      </w:r>
      <w:proofErr w:type="spellEnd"/>
      <w:r w:rsidRPr="00BD765C">
        <w:rPr>
          <w:sz w:val="24"/>
          <w:szCs w:val="24"/>
          <w:lang w:val="en-US"/>
        </w:rPr>
        <w:t xml:space="preserve">, V.N. </w:t>
      </w:r>
      <w:proofErr w:type="spellStart"/>
      <w:r w:rsidRPr="00BD765C">
        <w:rPr>
          <w:sz w:val="24"/>
          <w:szCs w:val="24"/>
          <w:lang w:val="en-US"/>
        </w:rPr>
        <w:t>Butrim</w:t>
      </w:r>
      <w:proofErr w:type="spellEnd"/>
      <w:r>
        <w:rPr>
          <w:sz w:val="24"/>
          <w:szCs w:val="24"/>
          <w:lang w:val="en-US"/>
        </w:rPr>
        <w:t xml:space="preserve"> </w:t>
      </w:r>
      <w:r w:rsidRPr="00BD765C">
        <w:rPr>
          <w:sz w:val="24"/>
          <w:szCs w:val="24"/>
          <w:lang w:val="en-US"/>
        </w:rPr>
        <w:t>[</w:t>
      </w:r>
      <w:proofErr w:type="spellStart"/>
      <w:r w:rsidRPr="00BD765C">
        <w:rPr>
          <w:sz w:val="24"/>
          <w:szCs w:val="24"/>
          <w:lang w:val="en-US"/>
        </w:rPr>
        <w:t>etc</w:t>
      </w:r>
      <w:proofErr w:type="spellEnd"/>
      <w:r w:rsidRPr="00BD765C">
        <w:rPr>
          <w:sz w:val="24"/>
          <w:szCs w:val="24"/>
          <w:lang w:val="en-US"/>
        </w:rPr>
        <w:t>]</w:t>
      </w:r>
      <w:r>
        <w:rPr>
          <w:sz w:val="24"/>
          <w:szCs w:val="24"/>
          <w:lang w:val="en-US"/>
        </w:rPr>
        <w:t>,</w:t>
      </w:r>
      <w:r w:rsidRPr="00BD765C">
        <w:rPr>
          <w:sz w:val="24"/>
          <w:szCs w:val="24"/>
          <w:lang w:val="en-US"/>
        </w:rPr>
        <w:t xml:space="preserve"> RU</w:t>
      </w:r>
      <w:r>
        <w:rPr>
          <w:sz w:val="24"/>
          <w:szCs w:val="24"/>
          <w:lang w:val="en-US"/>
        </w:rPr>
        <w:t xml:space="preserve"> P</w:t>
      </w:r>
      <w:r w:rsidRPr="00BD765C">
        <w:rPr>
          <w:sz w:val="24"/>
          <w:szCs w:val="24"/>
          <w:lang w:val="en-US"/>
        </w:rPr>
        <w:t>atent 2620402</w:t>
      </w:r>
      <w:r>
        <w:rPr>
          <w:sz w:val="24"/>
          <w:szCs w:val="24"/>
          <w:lang w:val="en-US"/>
        </w:rPr>
        <w:t xml:space="preserve"> (</w:t>
      </w:r>
      <w:r w:rsidRPr="00BD765C">
        <w:rPr>
          <w:sz w:val="24"/>
          <w:szCs w:val="24"/>
          <w:lang w:val="en-US"/>
        </w:rPr>
        <w:t>2017</w:t>
      </w:r>
      <w:r>
        <w:rPr>
          <w:sz w:val="24"/>
          <w:szCs w:val="24"/>
          <w:lang w:val="en-US"/>
        </w:rPr>
        <w:t>)</w:t>
      </w:r>
      <w:r w:rsidRPr="00BD765C">
        <w:rPr>
          <w:sz w:val="24"/>
          <w:szCs w:val="24"/>
          <w:lang w:val="en-US"/>
        </w:rPr>
        <w:t>.</w:t>
      </w:r>
      <w:bookmarkStart w:id="0" w:name="_GoBack"/>
      <w:bookmarkEnd w:id="0"/>
    </w:p>
    <w:sectPr w:rsidR="00BD765C" w:rsidSect="00EB40F8">
      <w:headerReference w:type="even" r:id="rId27"/>
      <w:footerReference w:type="first" r:id="rId28"/>
      <w:pgSz w:w="12240" w:h="15840" w:code="1"/>
      <w:pgMar w:top="1440" w:right="1440" w:bottom="1152" w:left="1440" w:header="432" w:footer="144" w:gutter="0"/>
      <w:pgNumType w:start="1"/>
      <w:cols w:space="709"/>
      <w:noEndnote/>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2053C" w:rsidRDefault="00D2053C">
      <w:r>
        <w:separator/>
      </w:r>
    </w:p>
  </w:endnote>
  <w:endnote w:type="continuationSeparator" w:id="0">
    <w:p w:rsidR="00D2053C" w:rsidRDefault="00D205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Schoolbook">
    <w:panose1 w:val="020406040505050203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2AFF" w:usb1="C000247B" w:usb2="00000009" w:usb3="00000000" w:csb0="000001FF" w:csb1="00000000"/>
  </w:font>
  <w:font w:name="Lucida">
    <w:panose1 w:val="00000000000000000000"/>
    <w:charset w:val="CC"/>
    <w:family w:val="auto"/>
    <w:notTrueType/>
    <w:pitch w:val="default"/>
    <w:sig w:usb0="00000201" w:usb1="00000000" w:usb2="00000000" w:usb3="00000000" w:csb0="00000004"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4439" w:rsidRPr="00CF4439" w:rsidRDefault="00CF4439" w:rsidP="005E794F">
    <w:pPr>
      <w:spacing w:before="120" w:after="120"/>
      <w:ind w:left="-180" w:right="-180"/>
      <w:jc w:val="both"/>
      <w:rPr>
        <w:rFonts w:ascii="Arial" w:hAnsi="Arial"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2053C" w:rsidRDefault="00D2053C">
      <w:r>
        <w:separator/>
      </w:r>
    </w:p>
  </w:footnote>
  <w:footnote w:type="continuationSeparator" w:id="0">
    <w:p w:rsidR="00D2053C" w:rsidRDefault="00D205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2366" w:rsidRDefault="00C42366">
    <w:pPr>
      <w:pStyle w:val="a3"/>
      <w:spacing w:after="240"/>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F61939"/>
    <w:multiLevelType w:val="hybridMultilevel"/>
    <w:tmpl w:val="46686F8A"/>
    <w:lvl w:ilvl="0" w:tplc="F9F84ED8">
      <w:start w:val="6"/>
      <w:numFmt w:val="decimal"/>
      <w:lvlText w:val="%1"/>
      <w:lvlJc w:val="left"/>
      <w:pPr>
        <w:ind w:left="1429" w:hanging="360"/>
      </w:pPr>
      <w:rPr>
        <w:rFonts w:hint="default"/>
        <w:color w:val="auto"/>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15:restartNumberingAfterBreak="0">
    <w:nsid w:val="097F6B71"/>
    <w:multiLevelType w:val="hybridMultilevel"/>
    <w:tmpl w:val="4B0457FE"/>
    <w:lvl w:ilvl="0" w:tplc="D1F66A52">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15:restartNumberingAfterBreak="0">
    <w:nsid w:val="09E13938"/>
    <w:multiLevelType w:val="hybridMultilevel"/>
    <w:tmpl w:val="3AA4FF98"/>
    <w:lvl w:ilvl="0" w:tplc="7B82ADBA">
      <w:start w:val="3"/>
      <w:numFmt w:val="decimal"/>
      <w:lvlText w:val="%1."/>
      <w:lvlJc w:val="left"/>
      <w:pPr>
        <w:ind w:left="945" w:hanging="360"/>
      </w:pPr>
      <w:rPr>
        <w:rFonts w:hint="default"/>
      </w:rPr>
    </w:lvl>
    <w:lvl w:ilvl="1" w:tplc="04190019" w:tentative="1">
      <w:start w:val="1"/>
      <w:numFmt w:val="lowerLetter"/>
      <w:lvlText w:val="%2."/>
      <w:lvlJc w:val="left"/>
      <w:pPr>
        <w:ind w:left="1665" w:hanging="360"/>
      </w:pPr>
    </w:lvl>
    <w:lvl w:ilvl="2" w:tplc="0419001B" w:tentative="1">
      <w:start w:val="1"/>
      <w:numFmt w:val="lowerRoman"/>
      <w:lvlText w:val="%3."/>
      <w:lvlJc w:val="right"/>
      <w:pPr>
        <w:ind w:left="2385" w:hanging="180"/>
      </w:pPr>
    </w:lvl>
    <w:lvl w:ilvl="3" w:tplc="0419000F" w:tentative="1">
      <w:start w:val="1"/>
      <w:numFmt w:val="decimal"/>
      <w:lvlText w:val="%4."/>
      <w:lvlJc w:val="left"/>
      <w:pPr>
        <w:ind w:left="3105" w:hanging="360"/>
      </w:pPr>
    </w:lvl>
    <w:lvl w:ilvl="4" w:tplc="04190019" w:tentative="1">
      <w:start w:val="1"/>
      <w:numFmt w:val="lowerLetter"/>
      <w:lvlText w:val="%5."/>
      <w:lvlJc w:val="left"/>
      <w:pPr>
        <w:ind w:left="3825" w:hanging="360"/>
      </w:pPr>
    </w:lvl>
    <w:lvl w:ilvl="5" w:tplc="0419001B" w:tentative="1">
      <w:start w:val="1"/>
      <w:numFmt w:val="lowerRoman"/>
      <w:lvlText w:val="%6."/>
      <w:lvlJc w:val="right"/>
      <w:pPr>
        <w:ind w:left="4545" w:hanging="180"/>
      </w:pPr>
    </w:lvl>
    <w:lvl w:ilvl="6" w:tplc="0419000F" w:tentative="1">
      <w:start w:val="1"/>
      <w:numFmt w:val="decimal"/>
      <w:lvlText w:val="%7."/>
      <w:lvlJc w:val="left"/>
      <w:pPr>
        <w:ind w:left="5265" w:hanging="360"/>
      </w:pPr>
    </w:lvl>
    <w:lvl w:ilvl="7" w:tplc="04190019" w:tentative="1">
      <w:start w:val="1"/>
      <w:numFmt w:val="lowerLetter"/>
      <w:lvlText w:val="%8."/>
      <w:lvlJc w:val="left"/>
      <w:pPr>
        <w:ind w:left="5985" w:hanging="360"/>
      </w:pPr>
    </w:lvl>
    <w:lvl w:ilvl="8" w:tplc="0419001B" w:tentative="1">
      <w:start w:val="1"/>
      <w:numFmt w:val="lowerRoman"/>
      <w:lvlText w:val="%9."/>
      <w:lvlJc w:val="right"/>
      <w:pPr>
        <w:ind w:left="6705" w:hanging="180"/>
      </w:pPr>
    </w:lvl>
  </w:abstractNum>
  <w:abstractNum w:abstractNumId="3" w15:restartNumberingAfterBreak="0">
    <w:nsid w:val="18DD1C8C"/>
    <w:multiLevelType w:val="multilevel"/>
    <w:tmpl w:val="D1F08FD4"/>
    <w:lvl w:ilvl="0">
      <w:start w:val="1"/>
      <w:numFmt w:val="decimal"/>
      <w:lvlText w:val="%1."/>
      <w:lvlJc w:val="left"/>
      <w:pPr>
        <w:ind w:left="1069" w:hanging="360"/>
      </w:pPr>
      <w:rPr>
        <w:rFonts w:hint="default"/>
      </w:rPr>
    </w:lvl>
    <w:lvl w:ilvl="1">
      <w:start w:val="3"/>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4" w15:restartNumberingAfterBreak="0">
    <w:nsid w:val="203A1B48"/>
    <w:multiLevelType w:val="hybridMultilevel"/>
    <w:tmpl w:val="84BCB9B0"/>
    <w:lvl w:ilvl="0" w:tplc="0540B314">
      <w:start w:val="6"/>
      <w:numFmt w:val="decimal"/>
      <w:lvlText w:val="%1"/>
      <w:lvlJc w:val="left"/>
      <w:pPr>
        <w:ind w:left="1429" w:hanging="360"/>
      </w:pPr>
      <w:rPr>
        <w:rFonts w:hint="default"/>
        <w:color w:val="auto"/>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15:restartNumberingAfterBreak="0">
    <w:nsid w:val="21C401CF"/>
    <w:multiLevelType w:val="hybridMultilevel"/>
    <w:tmpl w:val="145A4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6D8634F"/>
    <w:multiLevelType w:val="hybridMultilevel"/>
    <w:tmpl w:val="3384AF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1F841B7"/>
    <w:multiLevelType w:val="multilevel"/>
    <w:tmpl w:val="BC907D7C"/>
    <w:lvl w:ilvl="0">
      <w:start w:val="2"/>
      <w:numFmt w:val="decimal"/>
      <w:lvlText w:val="%1."/>
      <w:lvlJc w:val="left"/>
      <w:pPr>
        <w:ind w:left="360" w:hanging="360"/>
      </w:pPr>
      <w:rPr>
        <w:rFonts w:hint="default"/>
        <w:color w:val="000000"/>
        <w:sz w:val="20"/>
      </w:rPr>
    </w:lvl>
    <w:lvl w:ilvl="1">
      <w:start w:val="5"/>
      <w:numFmt w:val="decimal"/>
      <w:lvlText w:val="%1.%2."/>
      <w:lvlJc w:val="left"/>
      <w:pPr>
        <w:ind w:left="1100" w:hanging="720"/>
      </w:pPr>
      <w:rPr>
        <w:rFonts w:hint="default"/>
        <w:color w:val="000000"/>
        <w:sz w:val="20"/>
      </w:rPr>
    </w:lvl>
    <w:lvl w:ilvl="2">
      <w:start w:val="1"/>
      <w:numFmt w:val="decimal"/>
      <w:lvlText w:val="%1.%2.%3."/>
      <w:lvlJc w:val="left"/>
      <w:pPr>
        <w:ind w:left="1480" w:hanging="720"/>
      </w:pPr>
      <w:rPr>
        <w:rFonts w:hint="default"/>
        <w:color w:val="000000"/>
        <w:sz w:val="20"/>
      </w:rPr>
    </w:lvl>
    <w:lvl w:ilvl="3">
      <w:start w:val="1"/>
      <w:numFmt w:val="decimal"/>
      <w:lvlText w:val="%1.%2.%3.%4."/>
      <w:lvlJc w:val="left"/>
      <w:pPr>
        <w:ind w:left="2220" w:hanging="1080"/>
      </w:pPr>
      <w:rPr>
        <w:rFonts w:hint="default"/>
        <w:color w:val="000000"/>
        <w:sz w:val="20"/>
      </w:rPr>
    </w:lvl>
    <w:lvl w:ilvl="4">
      <w:start w:val="1"/>
      <w:numFmt w:val="decimal"/>
      <w:lvlText w:val="%1.%2.%3.%4.%5."/>
      <w:lvlJc w:val="left"/>
      <w:pPr>
        <w:ind w:left="2960" w:hanging="1440"/>
      </w:pPr>
      <w:rPr>
        <w:rFonts w:hint="default"/>
        <w:color w:val="000000"/>
        <w:sz w:val="20"/>
      </w:rPr>
    </w:lvl>
    <w:lvl w:ilvl="5">
      <w:start w:val="1"/>
      <w:numFmt w:val="decimal"/>
      <w:lvlText w:val="%1.%2.%3.%4.%5.%6."/>
      <w:lvlJc w:val="left"/>
      <w:pPr>
        <w:ind w:left="3340" w:hanging="1440"/>
      </w:pPr>
      <w:rPr>
        <w:rFonts w:hint="default"/>
        <w:color w:val="000000"/>
        <w:sz w:val="20"/>
      </w:rPr>
    </w:lvl>
    <w:lvl w:ilvl="6">
      <w:start w:val="1"/>
      <w:numFmt w:val="decimal"/>
      <w:lvlText w:val="%1.%2.%3.%4.%5.%6.%7."/>
      <w:lvlJc w:val="left"/>
      <w:pPr>
        <w:ind w:left="4080" w:hanging="1800"/>
      </w:pPr>
      <w:rPr>
        <w:rFonts w:hint="default"/>
        <w:color w:val="000000"/>
        <w:sz w:val="20"/>
      </w:rPr>
    </w:lvl>
    <w:lvl w:ilvl="7">
      <w:start w:val="1"/>
      <w:numFmt w:val="decimal"/>
      <w:lvlText w:val="%1.%2.%3.%4.%5.%6.%7.%8."/>
      <w:lvlJc w:val="left"/>
      <w:pPr>
        <w:ind w:left="4820" w:hanging="2160"/>
      </w:pPr>
      <w:rPr>
        <w:rFonts w:hint="default"/>
        <w:color w:val="000000"/>
        <w:sz w:val="20"/>
      </w:rPr>
    </w:lvl>
    <w:lvl w:ilvl="8">
      <w:start w:val="1"/>
      <w:numFmt w:val="decimal"/>
      <w:lvlText w:val="%1.%2.%3.%4.%5.%6.%7.%8.%9."/>
      <w:lvlJc w:val="left"/>
      <w:pPr>
        <w:ind w:left="5200" w:hanging="2160"/>
      </w:pPr>
      <w:rPr>
        <w:rFonts w:hint="default"/>
        <w:color w:val="000000"/>
        <w:sz w:val="20"/>
      </w:rPr>
    </w:lvl>
  </w:abstractNum>
  <w:abstractNum w:abstractNumId="8" w15:restartNumberingAfterBreak="0">
    <w:nsid w:val="33BB461B"/>
    <w:multiLevelType w:val="multilevel"/>
    <w:tmpl w:val="D8E46436"/>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352637EE"/>
    <w:multiLevelType w:val="multilevel"/>
    <w:tmpl w:val="D8E46436"/>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37B84B2E"/>
    <w:multiLevelType w:val="multilevel"/>
    <w:tmpl w:val="D1F08FD4"/>
    <w:lvl w:ilvl="0">
      <w:start w:val="1"/>
      <w:numFmt w:val="decimal"/>
      <w:lvlText w:val="%1."/>
      <w:lvlJc w:val="left"/>
      <w:pPr>
        <w:ind w:left="1069" w:hanging="360"/>
      </w:pPr>
      <w:rPr>
        <w:rFonts w:hint="default"/>
      </w:rPr>
    </w:lvl>
    <w:lvl w:ilvl="1">
      <w:start w:val="3"/>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1" w15:restartNumberingAfterBreak="0">
    <w:nsid w:val="4B7A5E60"/>
    <w:multiLevelType w:val="multilevel"/>
    <w:tmpl w:val="BC907D7C"/>
    <w:lvl w:ilvl="0">
      <w:start w:val="2"/>
      <w:numFmt w:val="decimal"/>
      <w:lvlText w:val="%1."/>
      <w:lvlJc w:val="left"/>
      <w:pPr>
        <w:ind w:left="360" w:hanging="360"/>
      </w:pPr>
      <w:rPr>
        <w:rFonts w:hint="default"/>
        <w:color w:val="000000"/>
        <w:sz w:val="20"/>
      </w:rPr>
    </w:lvl>
    <w:lvl w:ilvl="1">
      <w:start w:val="5"/>
      <w:numFmt w:val="decimal"/>
      <w:lvlText w:val="%1.%2."/>
      <w:lvlJc w:val="left"/>
      <w:pPr>
        <w:ind w:left="1100" w:hanging="720"/>
      </w:pPr>
      <w:rPr>
        <w:rFonts w:hint="default"/>
        <w:color w:val="000000"/>
        <w:sz w:val="20"/>
      </w:rPr>
    </w:lvl>
    <w:lvl w:ilvl="2">
      <w:start w:val="1"/>
      <w:numFmt w:val="decimal"/>
      <w:lvlText w:val="%1.%2.%3."/>
      <w:lvlJc w:val="left"/>
      <w:pPr>
        <w:ind w:left="1480" w:hanging="720"/>
      </w:pPr>
      <w:rPr>
        <w:rFonts w:hint="default"/>
        <w:color w:val="000000"/>
        <w:sz w:val="20"/>
      </w:rPr>
    </w:lvl>
    <w:lvl w:ilvl="3">
      <w:start w:val="1"/>
      <w:numFmt w:val="decimal"/>
      <w:lvlText w:val="%1.%2.%3.%4."/>
      <w:lvlJc w:val="left"/>
      <w:pPr>
        <w:ind w:left="2220" w:hanging="1080"/>
      </w:pPr>
      <w:rPr>
        <w:rFonts w:hint="default"/>
        <w:color w:val="000000"/>
        <w:sz w:val="20"/>
      </w:rPr>
    </w:lvl>
    <w:lvl w:ilvl="4">
      <w:start w:val="1"/>
      <w:numFmt w:val="decimal"/>
      <w:lvlText w:val="%1.%2.%3.%4.%5."/>
      <w:lvlJc w:val="left"/>
      <w:pPr>
        <w:ind w:left="2960" w:hanging="1440"/>
      </w:pPr>
      <w:rPr>
        <w:rFonts w:hint="default"/>
        <w:color w:val="000000"/>
        <w:sz w:val="20"/>
      </w:rPr>
    </w:lvl>
    <w:lvl w:ilvl="5">
      <w:start w:val="1"/>
      <w:numFmt w:val="decimal"/>
      <w:lvlText w:val="%1.%2.%3.%4.%5.%6."/>
      <w:lvlJc w:val="left"/>
      <w:pPr>
        <w:ind w:left="3340" w:hanging="1440"/>
      </w:pPr>
      <w:rPr>
        <w:rFonts w:hint="default"/>
        <w:color w:val="000000"/>
        <w:sz w:val="20"/>
      </w:rPr>
    </w:lvl>
    <w:lvl w:ilvl="6">
      <w:start w:val="1"/>
      <w:numFmt w:val="decimal"/>
      <w:lvlText w:val="%1.%2.%3.%4.%5.%6.%7."/>
      <w:lvlJc w:val="left"/>
      <w:pPr>
        <w:ind w:left="4080" w:hanging="1800"/>
      </w:pPr>
      <w:rPr>
        <w:rFonts w:hint="default"/>
        <w:color w:val="000000"/>
        <w:sz w:val="20"/>
      </w:rPr>
    </w:lvl>
    <w:lvl w:ilvl="7">
      <w:start w:val="1"/>
      <w:numFmt w:val="decimal"/>
      <w:lvlText w:val="%1.%2.%3.%4.%5.%6.%7.%8."/>
      <w:lvlJc w:val="left"/>
      <w:pPr>
        <w:ind w:left="4820" w:hanging="2160"/>
      </w:pPr>
      <w:rPr>
        <w:rFonts w:hint="default"/>
        <w:color w:val="000000"/>
        <w:sz w:val="20"/>
      </w:rPr>
    </w:lvl>
    <w:lvl w:ilvl="8">
      <w:start w:val="1"/>
      <w:numFmt w:val="decimal"/>
      <w:lvlText w:val="%1.%2.%3.%4.%5.%6.%7.%8.%9."/>
      <w:lvlJc w:val="left"/>
      <w:pPr>
        <w:ind w:left="5200" w:hanging="2160"/>
      </w:pPr>
      <w:rPr>
        <w:rFonts w:hint="default"/>
        <w:color w:val="000000"/>
        <w:sz w:val="20"/>
      </w:rPr>
    </w:lvl>
  </w:abstractNum>
  <w:abstractNum w:abstractNumId="12" w15:restartNumberingAfterBreak="0">
    <w:nsid w:val="57B03146"/>
    <w:multiLevelType w:val="multilevel"/>
    <w:tmpl w:val="D1F08FD4"/>
    <w:lvl w:ilvl="0">
      <w:start w:val="1"/>
      <w:numFmt w:val="decimal"/>
      <w:lvlText w:val="%1."/>
      <w:lvlJc w:val="left"/>
      <w:pPr>
        <w:ind w:left="1069" w:hanging="360"/>
      </w:pPr>
      <w:rPr>
        <w:rFonts w:hint="default"/>
      </w:rPr>
    </w:lvl>
    <w:lvl w:ilvl="1">
      <w:start w:val="3"/>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3" w15:restartNumberingAfterBreak="0">
    <w:nsid w:val="62FB7EE8"/>
    <w:multiLevelType w:val="multilevel"/>
    <w:tmpl w:val="E0606D02"/>
    <w:lvl w:ilvl="0">
      <w:start w:val="2"/>
      <w:numFmt w:val="decimal"/>
      <w:lvlText w:val="%1."/>
      <w:lvlJc w:val="left"/>
      <w:pPr>
        <w:ind w:left="360" w:hanging="360"/>
      </w:pPr>
      <w:rPr>
        <w:rFonts w:hint="default"/>
      </w:rPr>
    </w:lvl>
    <w:lvl w:ilvl="1">
      <w:start w:val="5"/>
      <w:numFmt w:val="decimal"/>
      <w:lvlText w:val="%1.%2."/>
      <w:lvlJc w:val="left"/>
      <w:pPr>
        <w:ind w:left="740" w:hanging="360"/>
      </w:pPr>
      <w:rPr>
        <w:rFonts w:hint="default"/>
      </w:rPr>
    </w:lvl>
    <w:lvl w:ilvl="2">
      <w:start w:val="1"/>
      <w:numFmt w:val="decimal"/>
      <w:lvlText w:val="%1.%2.%3."/>
      <w:lvlJc w:val="left"/>
      <w:pPr>
        <w:ind w:left="1480" w:hanging="720"/>
      </w:pPr>
      <w:rPr>
        <w:rFonts w:hint="default"/>
      </w:rPr>
    </w:lvl>
    <w:lvl w:ilvl="3">
      <w:start w:val="1"/>
      <w:numFmt w:val="decimal"/>
      <w:lvlText w:val="%1.%2.%3.%4."/>
      <w:lvlJc w:val="left"/>
      <w:pPr>
        <w:ind w:left="1860" w:hanging="720"/>
      </w:pPr>
      <w:rPr>
        <w:rFonts w:hint="default"/>
      </w:rPr>
    </w:lvl>
    <w:lvl w:ilvl="4">
      <w:start w:val="1"/>
      <w:numFmt w:val="decimal"/>
      <w:lvlText w:val="%1.%2.%3.%4.%5."/>
      <w:lvlJc w:val="left"/>
      <w:pPr>
        <w:ind w:left="2600" w:hanging="1080"/>
      </w:pPr>
      <w:rPr>
        <w:rFonts w:hint="default"/>
      </w:rPr>
    </w:lvl>
    <w:lvl w:ilvl="5">
      <w:start w:val="1"/>
      <w:numFmt w:val="decimal"/>
      <w:lvlText w:val="%1.%2.%3.%4.%5.%6."/>
      <w:lvlJc w:val="left"/>
      <w:pPr>
        <w:ind w:left="2980" w:hanging="1080"/>
      </w:pPr>
      <w:rPr>
        <w:rFonts w:hint="default"/>
      </w:rPr>
    </w:lvl>
    <w:lvl w:ilvl="6">
      <w:start w:val="1"/>
      <w:numFmt w:val="decimal"/>
      <w:lvlText w:val="%1.%2.%3.%4.%5.%6.%7."/>
      <w:lvlJc w:val="left"/>
      <w:pPr>
        <w:ind w:left="3720" w:hanging="1440"/>
      </w:pPr>
      <w:rPr>
        <w:rFonts w:hint="default"/>
      </w:rPr>
    </w:lvl>
    <w:lvl w:ilvl="7">
      <w:start w:val="1"/>
      <w:numFmt w:val="decimal"/>
      <w:lvlText w:val="%1.%2.%3.%4.%5.%6.%7.%8."/>
      <w:lvlJc w:val="left"/>
      <w:pPr>
        <w:ind w:left="4100" w:hanging="1440"/>
      </w:pPr>
      <w:rPr>
        <w:rFonts w:hint="default"/>
      </w:rPr>
    </w:lvl>
    <w:lvl w:ilvl="8">
      <w:start w:val="1"/>
      <w:numFmt w:val="decimal"/>
      <w:lvlText w:val="%1.%2.%3.%4.%5.%6.%7.%8.%9."/>
      <w:lvlJc w:val="left"/>
      <w:pPr>
        <w:ind w:left="4840" w:hanging="1800"/>
      </w:pPr>
      <w:rPr>
        <w:rFonts w:hint="default"/>
      </w:rPr>
    </w:lvl>
  </w:abstractNum>
  <w:abstractNum w:abstractNumId="14" w15:restartNumberingAfterBreak="0">
    <w:nsid w:val="6C537FBC"/>
    <w:multiLevelType w:val="hybridMultilevel"/>
    <w:tmpl w:val="AC7CB384"/>
    <w:lvl w:ilvl="0" w:tplc="6144C124">
      <w:numFmt w:val="bullet"/>
      <w:lvlText w:val=""/>
      <w:lvlJc w:val="left"/>
      <w:pPr>
        <w:tabs>
          <w:tab w:val="num" w:pos="1080"/>
        </w:tabs>
        <w:ind w:left="1080" w:hanging="720"/>
      </w:pPr>
      <w:rPr>
        <w:rFonts w:ascii="Wingdings" w:eastAsia="Times New Roman" w:hAnsi="Wingdings" w:hint="default"/>
        <w:b/>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3C81C3D"/>
    <w:multiLevelType w:val="hybridMultilevel"/>
    <w:tmpl w:val="99189F46"/>
    <w:lvl w:ilvl="0" w:tplc="F468E5EE">
      <w:start w:val="5"/>
      <w:numFmt w:val="decimal"/>
      <w:lvlText w:val="%1."/>
      <w:lvlJc w:val="left"/>
      <w:pPr>
        <w:ind w:left="945" w:hanging="360"/>
      </w:pPr>
      <w:rPr>
        <w:rFonts w:hint="default"/>
        <w:color w:val="auto"/>
      </w:rPr>
    </w:lvl>
    <w:lvl w:ilvl="1" w:tplc="04190019" w:tentative="1">
      <w:start w:val="1"/>
      <w:numFmt w:val="lowerLetter"/>
      <w:lvlText w:val="%2."/>
      <w:lvlJc w:val="left"/>
      <w:pPr>
        <w:ind w:left="1665" w:hanging="360"/>
      </w:pPr>
    </w:lvl>
    <w:lvl w:ilvl="2" w:tplc="0419001B" w:tentative="1">
      <w:start w:val="1"/>
      <w:numFmt w:val="lowerRoman"/>
      <w:lvlText w:val="%3."/>
      <w:lvlJc w:val="right"/>
      <w:pPr>
        <w:ind w:left="2385" w:hanging="180"/>
      </w:pPr>
    </w:lvl>
    <w:lvl w:ilvl="3" w:tplc="0419000F" w:tentative="1">
      <w:start w:val="1"/>
      <w:numFmt w:val="decimal"/>
      <w:lvlText w:val="%4."/>
      <w:lvlJc w:val="left"/>
      <w:pPr>
        <w:ind w:left="3105" w:hanging="360"/>
      </w:pPr>
    </w:lvl>
    <w:lvl w:ilvl="4" w:tplc="04190019" w:tentative="1">
      <w:start w:val="1"/>
      <w:numFmt w:val="lowerLetter"/>
      <w:lvlText w:val="%5."/>
      <w:lvlJc w:val="left"/>
      <w:pPr>
        <w:ind w:left="3825" w:hanging="360"/>
      </w:pPr>
    </w:lvl>
    <w:lvl w:ilvl="5" w:tplc="0419001B" w:tentative="1">
      <w:start w:val="1"/>
      <w:numFmt w:val="lowerRoman"/>
      <w:lvlText w:val="%6."/>
      <w:lvlJc w:val="right"/>
      <w:pPr>
        <w:ind w:left="4545" w:hanging="180"/>
      </w:pPr>
    </w:lvl>
    <w:lvl w:ilvl="6" w:tplc="0419000F" w:tentative="1">
      <w:start w:val="1"/>
      <w:numFmt w:val="decimal"/>
      <w:lvlText w:val="%7."/>
      <w:lvlJc w:val="left"/>
      <w:pPr>
        <w:ind w:left="5265" w:hanging="360"/>
      </w:pPr>
    </w:lvl>
    <w:lvl w:ilvl="7" w:tplc="04190019" w:tentative="1">
      <w:start w:val="1"/>
      <w:numFmt w:val="lowerLetter"/>
      <w:lvlText w:val="%8."/>
      <w:lvlJc w:val="left"/>
      <w:pPr>
        <w:ind w:left="5985" w:hanging="360"/>
      </w:pPr>
    </w:lvl>
    <w:lvl w:ilvl="8" w:tplc="0419001B" w:tentative="1">
      <w:start w:val="1"/>
      <w:numFmt w:val="lowerRoman"/>
      <w:lvlText w:val="%9."/>
      <w:lvlJc w:val="right"/>
      <w:pPr>
        <w:ind w:left="6705" w:hanging="180"/>
      </w:pPr>
    </w:lvl>
  </w:abstractNum>
  <w:num w:numId="1">
    <w:abstractNumId w:val="14"/>
  </w:num>
  <w:num w:numId="2">
    <w:abstractNumId w:val="6"/>
  </w:num>
  <w:num w:numId="3">
    <w:abstractNumId w:val="5"/>
  </w:num>
  <w:num w:numId="4">
    <w:abstractNumId w:val="10"/>
  </w:num>
  <w:num w:numId="5">
    <w:abstractNumId w:val="12"/>
  </w:num>
  <w:num w:numId="6">
    <w:abstractNumId w:val="9"/>
  </w:num>
  <w:num w:numId="7">
    <w:abstractNumId w:val="2"/>
  </w:num>
  <w:num w:numId="8">
    <w:abstractNumId w:val="15"/>
  </w:num>
  <w:num w:numId="9">
    <w:abstractNumId w:val="3"/>
  </w:num>
  <w:num w:numId="10">
    <w:abstractNumId w:val="13"/>
  </w:num>
  <w:num w:numId="11">
    <w:abstractNumId w:val="7"/>
  </w:num>
  <w:num w:numId="12">
    <w:abstractNumId w:val="4"/>
  </w:num>
  <w:num w:numId="13">
    <w:abstractNumId w:val="0"/>
  </w:num>
  <w:num w:numId="14">
    <w:abstractNumId w:val="11"/>
  </w:num>
  <w:num w:numId="15">
    <w:abstractNumId w:val="8"/>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intFractionalCharacterWidth/>
  <w:embedSystemFonts/>
  <w:proofState w:spelling="clean" w:grammar="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9"/>
  <w:hyphenationZone w:val="425"/>
  <w:doNotHyphenateCaps/>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0817"/>
    <w:rsid w:val="0000211A"/>
    <w:rsid w:val="00002163"/>
    <w:rsid w:val="00037BB2"/>
    <w:rsid w:val="00053BF2"/>
    <w:rsid w:val="00076AF4"/>
    <w:rsid w:val="000B60A0"/>
    <w:rsid w:val="000C0BEA"/>
    <w:rsid w:val="000C3EA9"/>
    <w:rsid w:val="000E171F"/>
    <w:rsid w:val="001553C0"/>
    <w:rsid w:val="00191D51"/>
    <w:rsid w:val="00192CBA"/>
    <w:rsid w:val="001C5B52"/>
    <w:rsid w:val="001D4F4A"/>
    <w:rsid w:val="001D5489"/>
    <w:rsid w:val="00222678"/>
    <w:rsid w:val="0022581B"/>
    <w:rsid w:val="00226007"/>
    <w:rsid w:val="00232354"/>
    <w:rsid w:val="00232427"/>
    <w:rsid w:val="00232996"/>
    <w:rsid w:val="002510F4"/>
    <w:rsid w:val="00251A99"/>
    <w:rsid w:val="00262933"/>
    <w:rsid w:val="00295485"/>
    <w:rsid w:val="002B1544"/>
    <w:rsid w:val="002C1997"/>
    <w:rsid w:val="002D389A"/>
    <w:rsid w:val="002E56E1"/>
    <w:rsid w:val="002F16CE"/>
    <w:rsid w:val="003A2EFF"/>
    <w:rsid w:val="003B0D35"/>
    <w:rsid w:val="003D0BAB"/>
    <w:rsid w:val="003F74F5"/>
    <w:rsid w:val="00403AC4"/>
    <w:rsid w:val="00455AE6"/>
    <w:rsid w:val="00476278"/>
    <w:rsid w:val="0049544C"/>
    <w:rsid w:val="004A3A74"/>
    <w:rsid w:val="004A5419"/>
    <w:rsid w:val="004C48B6"/>
    <w:rsid w:val="004C7B7F"/>
    <w:rsid w:val="004D18B0"/>
    <w:rsid w:val="004F7AE3"/>
    <w:rsid w:val="0052029B"/>
    <w:rsid w:val="00537DB6"/>
    <w:rsid w:val="00552712"/>
    <w:rsid w:val="005662B5"/>
    <w:rsid w:val="00580DFD"/>
    <w:rsid w:val="00591AB1"/>
    <w:rsid w:val="00593ED6"/>
    <w:rsid w:val="005D5565"/>
    <w:rsid w:val="005E794F"/>
    <w:rsid w:val="005F3C41"/>
    <w:rsid w:val="006231A2"/>
    <w:rsid w:val="006273B8"/>
    <w:rsid w:val="00641B37"/>
    <w:rsid w:val="00660A63"/>
    <w:rsid w:val="006B347C"/>
    <w:rsid w:val="006C2709"/>
    <w:rsid w:val="006D2C1A"/>
    <w:rsid w:val="006F1254"/>
    <w:rsid w:val="0071355A"/>
    <w:rsid w:val="00742FA2"/>
    <w:rsid w:val="007457DC"/>
    <w:rsid w:val="00774597"/>
    <w:rsid w:val="007A072D"/>
    <w:rsid w:val="007A1ECC"/>
    <w:rsid w:val="007C7047"/>
    <w:rsid w:val="007D0AD9"/>
    <w:rsid w:val="007D119E"/>
    <w:rsid w:val="007F7248"/>
    <w:rsid w:val="00822020"/>
    <w:rsid w:val="008272BB"/>
    <w:rsid w:val="008729E8"/>
    <w:rsid w:val="00881231"/>
    <w:rsid w:val="008837EB"/>
    <w:rsid w:val="0089048C"/>
    <w:rsid w:val="008D1944"/>
    <w:rsid w:val="008D5F72"/>
    <w:rsid w:val="00900CB8"/>
    <w:rsid w:val="00920837"/>
    <w:rsid w:val="009414EB"/>
    <w:rsid w:val="00953D4E"/>
    <w:rsid w:val="00975783"/>
    <w:rsid w:val="009C24A8"/>
    <w:rsid w:val="00A05306"/>
    <w:rsid w:val="00A31D95"/>
    <w:rsid w:val="00A374C4"/>
    <w:rsid w:val="00A51450"/>
    <w:rsid w:val="00A63A8D"/>
    <w:rsid w:val="00A76C04"/>
    <w:rsid w:val="00A95E30"/>
    <w:rsid w:val="00AD3A4F"/>
    <w:rsid w:val="00B11627"/>
    <w:rsid w:val="00B42F49"/>
    <w:rsid w:val="00B56E8D"/>
    <w:rsid w:val="00BA4371"/>
    <w:rsid w:val="00BA7666"/>
    <w:rsid w:val="00BB11EA"/>
    <w:rsid w:val="00BC3ABB"/>
    <w:rsid w:val="00BD23EA"/>
    <w:rsid w:val="00BD54EA"/>
    <w:rsid w:val="00BD765C"/>
    <w:rsid w:val="00BE0BA7"/>
    <w:rsid w:val="00BF3BA8"/>
    <w:rsid w:val="00C35AF8"/>
    <w:rsid w:val="00C35D53"/>
    <w:rsid w:val="00C42366"/>
    <w:rsid w:val="00C42F96"/>
    <w:rsid w:val="00C83653"/>
    <w:rsid w:val="00C84905"/>
    <w:rsid w:val="00CC0CCE"/>
    <w:rsid w:val="00CD5429"/>
    <w:rsid w:val="00CF1396"/>
    <w:rsid w:val="00CF4439"/>
    <w:rsid w:val="00D2053C"/>
    <w:rsid w:val="00D21AFA"/>
    <w:rsid w:val="00D22891"/>
    <w:rsid w:val="00D430B7"/>
    <w:rsid w:val="00D91DD9"/>
    <w:rsid w:val="00DB1460"/>
    <w:rsid w:val="00DD4E1D"/>
    <w:rsid w:val="00E339EE"/>
    <w:rsid w:val="00E56305"/>
    <w:rsid w:val="00E700ED"/>
    <w:rsid w:val="00E84CAD"/>
    <w:rsid w:val="00E92BEF"/>
    <w:rsid w:val="00EB154E"/>
    <w:rsid w:val="00EB40F8"/>
    <w:rsid w:val="00ED41F6"/>
    <w:rsid w:val="00ED5ABA"/>
    <w:rsid w:val="00F140C6"/>
    <w:rsid w:val="00F15E79"/>
    <w:rsid w:val="00F16432"/>
    <w:rsid w:val="00F24921"/>
    <w:rsid w:val="00F30817"/>
    <w:rsid w:val="00F51CF2"/>
    <w:rsid w:val="00F64CB6"/>
    <w:rsid w:val="00F95B0C"/>
    <w:rsid w:val="00FA14D3"/>
    <w:rsid w:val="00FA17BB"/>
    <w:rsid w:val="00FB0911"/>
    <w:rsid w:val="00FC333C"/>
    <w:rsid w:val="00FD0374"/>
    <w:rsid w:val="00FD4398"/>
    <w:rsid w:val="00FE1C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58B5D050-A789-4F66-BD29-0978419AA4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locked="1" w:uiPriority="0"/>
    <w:lsdException w:name="heading 1" w:locked="1" w:uiPriority="0" w:qFormat="1"/>
    <w:lsdException w:name="heading 2" w:locked="1" w:semiHidden="1" w:uiPriority="0" w:unhideWhenUsed="1" w:qFormat="1"/>
    <w:lsdException w:name="heading 3" w:locked="1" w:semiHidden="1" w:uiPriority="0" w:unhideWhenUsed="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22" w:qFormat="1"/>
    <w:lsdException w:name="Emphasis" w:locked="1"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822020"/>
    <w:pPr>
      <w:autoSpaceDE w:val="0"/>
      <w:autoSpaceDN w:val="0"/>
    </w:pPr>
    <w:rPr>
      <w:lang w:val="de-DE"/>
    </w:rPr>
  </w:style>
  <w:style w:type="paragraph" w:styleId="1">
    <w:name w:val="heading 1"/>
    <w:basedOn w:val="a"/>
    <w:next w:val="a"/>
    <w:link w:val="10"/>
    <w:qFormat/>
    <w:pPr>
      <w:keepNext/>
      <w:autoSpaceDE/>
      <w:autoSpaceDN/>
      <w:outlineLvl w:val="0"/>
    </w:pPr>
    <w:rPr>
      <w:b/>
      <w:bCs/>
      <w:sz w:val="32"/>
      <w:szCs w:val="32"/>
      <w:u w:val="single"/>
      <w:lang w:val="en-US"/>
    </w:rPr>
  </w:style>
  <w:style w:type="paragraph" w:styleId="3">
    <w:name w:val="heading 3"/>
    <w:basedOn w:val="a"/>
    <w:next w:val="a"/>
    <w:link w:val="30"/>
    <w:unhideWhenUsed/>
    <w:locked/>
    <w:rsid w:val="006231A2"/>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semiHidden/>
    <w:unhideWhenUsed/>
    <w:qFormat/>
    <w:locked/>
    <w:rsid w:val="006231A2"/>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locked/>
    <w:rPr>
      <w:rFonts w:ascii="Cambria" w:hAnsi="Cambria" w:cs="Times New Roman"/>
      <w:b/>
      <w:bCs/>
      <w:kern w:val="32"/>
      <w:sz w:val="32"/>
      <w:szCs w:val="32"/>
      <w:lang w:val="de-DE" w:eastAsia="en-US"/>
    </w:rPr>
  </w:style>
  <w:style w:type="paragraph" w:customStyle="1" w:styleId="MRFTitle">
    <w:name w:val="MRF Title"/>
    <w:basedOn w:val="a"/>
    <w:next w:val="MRFAuthors"/>
    <w:uiPriority w:val="99"/>
    <w:qFormat/>
    <w:rsid w:val="00BA4371"/>
    <w:pPr>
      <w:spacing w:after="120"/>
      <w:jc w:val="center"/>
    </w:pPr>
    <w:rPr>
      <w:rFonts w:ascii="Arial" w:hAnsi="Arial" w:cs="Arial"/>
      <w:b/>
      <w:bCs/>
      <w:sz w:val="32"/>
      <w:szCs w:val="30"/>
      <w:lang w:val="en-US"/>
    </w:rPr>
  </w:style>
  <w:style w:type="paragraph" w:customStyle="1" w:styleId="MRFAuthors">
    <w:name w:val="MRF Author(s)"/>
    <w:basedOn w:val="a"/>
    <w:next w:val="MRFAddress"/>
    <w:uiPriority w:val="99"/>
    <w:qFormat/>
    <w:rsid w:val="00BA4371"/>
    <w:pPr>
      <w:spacing w:before="120"/>
      <w:jc w:val="center"/>
    </w:pPr>
    <w:rPr>
      <w:rFonts w:ascii="Arial" w:hAnsi="Arial" w:cs="Arial"/>
      <w:sz w:val="26"/>
      <w:szCs w:val="28"/>
      <w:lang w:val="en-US"/>
    </w:rPr>
  </w:style>
  <w:style w:type="paragraph" w:customStyle="1" w:styleId="MRFAddress">
    <w:name w:val="MRF Address"/>
    <w:basedOn w:val="a"/>
    <w:uiPriority w:val="99"/>
    <w:qFormat/>
    <w:pPr>
      <w:spacing w:before="120"/>
      <w:jc w:val="center"/>
    </w:pPr>
    <w:rPr>
      <w:rFonts w:ascii="Arial" w:hAnsi="Arial" w:cs="Arial"/>
      <w:sz w:val="22"/>
      <w:szCs w:val="22"/>
      <w:lang w:val="en-US"/>
    </w:rPr>
  </w:style>
  <w:style w:type="paragraph" w:customStyle="1" w:styleId="MRFSectionHeading">
    <w:name w:val="MRF Section Heading"/>
    <w:basedOn w:val="a"/>
    <w:next w:val="MRFParagraph1st"/>
    <w:uiPriority w:val="99"/>
    <w:qFormat/>
    <w:rsid w:val="00BA4371"/>
    <w:pPr>
      <w:spacing w:before="120"/>
      <w:jc w:val="both"/>
    </w:pPr>
    <w:rPr>
      <w:b/>
      <w:bCs/>
      <w:sz w:val="24"/>
      <w:szCs w:val="24"/>
      <w:lang w:val="en-US"/>
    </w:rPr>
  </w:style>
  <w:style w:type="paragraph" w:customStyle="1" w:styleId="MRFParagraph1st">
    <w:name w:val="MRF Paragraph (1st)"/>
    <w:basedOn w:val="a"/>
    <w:next w:val="MRFParagraphothers"/>
    <w:uiPriority w:val="99"/>
    <w:qFormat/>
    <w:rsid w:val="00C35D53"/>
    <w:pPr>
      <w:jc w:val="both"/>
    </w:pPr>
    <w:rPr>
      <w:sz w:val="24"/>
      <w:szCs w:val="24"/>
      <w:lang w:val="en-US"/>
    </w:rPr>
  </w:style>
  <w:style w:type="paragraph" w:customStyle="1" w:styleId="MRFParagraphothers">
    <w:name w:val="MRF Paragraph (others)"/>
    <w:basedOn w:val="MRFParagraph1st"/>
    <w:uiPriority w:val="99"/>
    <w:qFormat/>
    <w:pPr>
      <w:ind w:firstLine="283"/>
    </w:pPr>
  </w:style>
  <w:style w:type="paragraph" w:customStyle="1" w:styleId="MRFReference">
    <w:name w:val="MRF Reference"/>
    <w:basedOn w:val="a"/>
    <w:uiPriority w:val="99"/>
    <w:qFormat/>
    <w:rsid w:val="00C35D53"/>
    <w:pPr>
      <w:tabs>
        <w:tab w:val="left" w:pos="426"/>
      </w:tabs>
      <w:spacing w:before="80" w:line="288" w:lineRule="atLeast"/>
      <w:jc w:val="both"/>
    </w:pPr>
    <w:rPr>
      <w:sz w:val="24"/>
      <w:szCs w:val="24"/>
    </w:rPr>
  </w:style>
  <w:style w:type="paragraph" w:customStyle="1" w:styleId="MRFKeywords">
    <w:name w:val="MRF Keywords"/>
    <w:basedOn w:val="a"/>
    <w:next w:val="MRFAbstract"/>
    <w:uiPriority w:val="99"/>
    <w:qFormat/>
    <w:rsid w:val="00BA4371"/>
    <w:pPr>
      <w:spacing w:before="360"/>
      <w:jc w:val="both"/>
    </w:pPr>
    <w:rPr>
      <w:rFonts w:ascii="Arial" w:hAnsi="Arial" w:cs="Arial"/>
      <w:sz w:val="24"/>
      <w:szCs w:val="22"/>
      <w:lang w:val="en-US"/>
    </w:rPr>
  </w:style>
  <w:style w:type="paragraph" w:customStyle="1" w:styleId="MRFAbstract">
    <w:name w:val="MRF Abstract"/>
    <w:basedOn w:val="a"/>
    <w:next w:val="MRFSectionHeading"/>
    <w:uiPriority w:val="99"/>
    <w:qFormat/>
    <w:rsid w:val="00C35D53"/>
    <w:pPr>
      <w:spacing w:before="360"/>
      <w:jc w:val="both"/>
    </w:pPr>
    <w:rPr>
      <w:sz w:val="24"/>
      <w:szCs w:val="24"/>
      <w:lang w:val="en-US"/>
    </w:rPr>
  </w:style>
  <w:style w:type="paragraph" w:customStyle="1" w:styleId="MRFEquation">
    <w:name w:val="MRF Equation"/>
    <w:basedOn w:val="a"/>
    <w:next w:val="MRFParagraph1st"/>
    <w:uiPriority w:val="99"/>
    <w:qFormat/>
    <w:rsid w:val="00232427"/>
    <w:pPr>
      <w:tabs>
        <w:tab w:val="right" w:pos="9360"/>
      </w:tabs>
      <w:spacing w:before="240" w:after="240"/>
      <w:ind w:left="284" w:right="-11"/>
      <w:jc w:val="both"/>
    </w:pPr>
    <w:rPr>
      <w:sz w:val="24"/>
      <w:szCs w:val="24"/>
    </w:rPr>
  </w:style>
  <w:style w:type="paragraph" w:styleId="a3">
    <w:name w:val="header"/>
    <w:basedOn w:val="a"/>
    <w:link w:val="a4"/>
    <w:uiPriority w:val="99"/>
    <w:pPr>
      <w:tabs>
        <w:tab w:val="center" w:pos="4536"/>
        <w:tab w:val="right" w:pos="9072"/>
      </w:tabs>
    </w:pPr>
  </w:style>
  <w:style w:type="character" w:customStyle="1" w:styleId="a4">
    <w:name w:val="Верхний колонтитул Знак"/>
    <w:link w:val="a3"/>
    <w:uiPriority w:val="99"/>
    <w:locked/>
    <w:rPr>
      <w:rFonts w:cs="Times New Roman"/>
      <w:sz w:val="20"/>
      <w:szCs w:val="20"/>
      <w:lang w:val="de-DE" w:eastAsia="en-US"/>
    </w:rPr>
  </w:style>
  <w:style w:type="paragraph" w:styleId="a5">
    <w:name w:val="footer"/>
    <w:basedOn w:val="a"/>
    <w:link w:val="a6"/>
    <w:uiPriority w:val="99"/>
    <w:pPr>
      <w:tabs>
        <w:tab w:val="center" w:pos="4536"/>
        <w:tab w:val="right" w:pos="9072"/>
      </w:tabs>
    </w:pPr>
  </w:style>
  <w:style w:type="character" w:customStyle="1" w:styleId="a6">
    <w:name w:val="Нижний колонтитул Знак"/>
    <w:link w:val="a5"/>
    <w:uiPriority w:val="99"/>
    <w:locked/>
    <w:rPr>
      <w:rFonts w:cs="Times New Roman"/>
      <w:sz w:val="20"/>
      <w:szCs w:val="20"/>
      <w:lang w:val="de-DE" w:eastAsia="en-US"/>
    </w:rPr>
  </w:style>
  <w:style w:type="paragraph" w:customStyle="1" w:styleId="MRFFootnote">
    <w:name w:val="MRF Footnote"/>
    <w:basedOn w:val="MRFParagraphothers"/>
    <w:uiPriority w:val="99"/>
    <w:qFormat/>
    <w:pPr>
      <w:pBdr>
        <w:top w:val="single" w:sz="4" w:space="5" w:color="auto"/>
      </w:pBdr>
      <w:spacing w:before="600"/>
      <w:ind w:firstLine="284"/>
    </w:pPr>
    <w:rPr>
      <w:szCs w:val="22"/>
    </w:rPr>
  </w:style>
  <w:style w:type="character" w:styleId="a7">
    <w:name w:val="Hyperlink"/>
    <w:uiPriority w:val="99"/>
    <w:rPr>
      <w:rFonts w:cs="Times New Roman"/>
      <w:color w:val="0000FF"/>
      <w:u w:val="single"/>
    </w:rPr>
  </w:style>
  <w:style w:type="character" w:styleId="a8">
    <w:name w:val="FollowedHyperlink"/>
    <w:uiPriority w:val="99"/>
    <w:rPr>
      <w:rFonts w:cs="Times New Roman"/>
      <w:color w:val="800080"/>
      <w:u w:val="single"/>
    </w:rPr>
  </w:style>
  <w:style w:type="paragraph" w:styleId="a9">
    <w:name w:val="Balloon Text"/>
    <w:basedOn w:val="a"/>
    <w:link w:val="aa"/>
    <w:uiPriority w:val="99"/>
    <w:semiHidden/>
    <w:rPr>
      <w:rFonts w:ascii="Tahoma" w:hAnsi="Tahoma" w:cs="Tahoma"/>
      <w:sz w:val="16"/>
      <w:szCs w:val="16"/>
    </w:rPr>
  </w:style>
  <w:style w:type="character" w:customStyle="1" w:styleId="aa">
    <w:name w:val="Текст выноски Знак"/>
    <w:link w:val="a9"/>
    <w:uiPriority w:val="99"/>
    <w:semiHidden/>
    <w:locked/>
    <w:rPr>
      <w:rFonts w:ascii="Tahoma" w:hAnsi="Tahoma" w:cs="Tahoma"/>
      <w:sz w:val="16"/>
      <w:szCs w:val="16"/>
      <w:lang w:val="de-DE" w:eastAsia="en-US"/>
    </w:rPr>
  </w:style>
  <w:style w:type="paragraph" w:styleId="ab">
    <w:name w:val="footnote text"/>
    <w:basedOn w:val="a"/>
    <w:link w:val="ac"/>
    <w:uiPriority w:val="99"/>
    <w:semiHidden/>
  </w:style>
  <w:style w:type="character" w:customStyle="1" w:styleId="ac">
    <w:name w:val="Текст сноски Знак"/>
    <w:link w:val="ab"/>
    <w:uiPriority w:val="99"/>
    <w:semiHidden/>
    <w:locked/>
    <w:rPr>
      <w:rFonts w:cs="Times New Roman"/>
      <w:sz w:val="20"/>
      <w:szCs w:val="20"/>
      <w:lang w:val="de-DE" w:eastAsia="en-US"/>
    </w:rPr>
  </w:style>
  <w:style w:type="character" w:styleId="ad">
    <w:name w:val="footnote reference"/>
    <w:uiPriority w:val="99"/>
    <w:semiHidden/>
    <w:rPr>
      <w:rFonts w:cs="Times New Roman"/>
      <w:vertAlign w:val="superscript"/>
    </w:rPr>
  </w:style>
  <w:style w:type="paragraph" w:styleId="HTML">
    <w:name w:val="HTML Preformatted"/>
    <w:basedOn w:val="a"/>
    <w:link w:val="HTML0"/>
    <w:uiPriority w:val="99"/>
    <w:semiHidden/>
    <w:unhideWhenUsed/>
    <w:rsid w:val="004F7A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lang w:eastAsia="de-DE"/>
    </w:rPr>
  </w:style>
  <w:style w:type="character" w:customStyle="1" w:styleId="HTML0">
    <w:name w:val="Стандартный HTML Знак"/>
    <w:link w:val="HTML"/>
    <w:uiPriority w:val="99"/>
    <w:semiHidden/>
    <w:rsid w:val="004F7AE3"/>
    <w:rPr>
      <w:rFonts w:ascii="Courier New" w:hAnsi="Courier New" w:cs="Courier New"/>
    </w:rPr>
  </w:style>
  <w:style w:type="paragraph" w:styleId="ae">
    <w:name w:val="List Paragraph"/>
    <w:basedOn w:val="a"/>
    <w:link w:val="af"/>
    <w:uiPriority w:val="34"/>
    <w:qFormat/>
    <w:rsid w:val="005F3C41"/>
    <w:pPr>
      <w:autoSpaceDE/>
      <w:autoSpaceDN/>
      <w:spacing w:after="100" w:afterAutospacing="1"/>
      <w:ind w:left="720"/>
      <w:contextualSpacing/>
      <w:jc w:val="both"/>
    </w:pPr>
    <w:rPr>
      <w:rFonts w:asciiTheme="minorHAnsi" w:eastAsiaTheme="minorEastAsia" w:hAnsiTheme="minorHAnsi" w:cstheme="minorBidi"/>
      <w:sz w:val="22"/>
      <w:szCs w:val="22"/>
      <w:lang w:val="en-AU" w:eastAsia="zh-CN"/>
    </w:rPr>
  </w:style>
  <w:style w:type="character" w:customStyle="1" w:styleId="af">
    <w:name w:val="Абзац списка Знак"/>
    <w:basedOn w:val="a0"/>
    <w:link w:val="ae"/>
    <w:uiPriority w:val="34"/>
    <w:rsid w:val="005F3C41"/>
    <w:rPr>
      <w:rFonts w:asciiTheme="minorHAnsi" w:eastAsiaTheme="minorEastAsia" w:hAnsiTheme="minorHAnsi" w:cstheme="minorBidi"/>
      <w:sz w:val="22"/>
      <w:szCs w:val="22"/>
      <w:lang w:val="en-AU" w:eastAsia="zh-CN"/>
    </w:rPr>
  </w:style>
  <w:style w:type="paragraph" w:styleId="af0">
    <w:name w:val="No Spacing"/>
    <w:uiPriority w:val="1"/>
    <w:rsid w:val="004A5419"/>
    <w:pPr>
      <w:autoSpaceDE w:val="0"/>
      <w:autoSpaceDN w:val="0"/>
    </w:pPr>
    <w:rPr>
      <w:lang w:val="de-DE"/>
    </w:rPr>
  </w:style>
  <w:style w:type="paragraph" w:customStyle="1" w:styleId="MRFCaption">
    <w:name w:val="MRF Caption"/>
    <w:basedOn w:val="a"/>
    <w:qFormat/>
    <w:rsid w:val="004A5419"/>
    <w:pPr>
      <w:spacing w:after="120"/>
    </w:pPr>
    <w:rPr>
      <w:i/>
      <w:sz w:val="24"/>
      <w:szCs w:val="24"/>
    </w:rPr>
  </w:style>
  <w:style w:type="paragraph" w:customStyle="1" w:styleId="StyleMRFReferenceItalic">
    <w:name w:val="Style MRF Reference + Italic"/>
    <w:basedOn w:val="MRFReference"/>
    <w:rsid w:val="00232354"/>
    <w:pPr>
      <w:spacing w:before="0"/>
    </w:pPr>
    <w:rPr>
      <w:i/>
      <w:iCs/>
    </w:rPr>
  </w:style>
  <w:style w:type="character" w:customStyle="1" w:styleId="30">
    <w:name w:val="Заголовок 3 Знак"/>
    <w:basedOn w:val="a0"/>
    <w:link w:val="3"/>
    <w:rsid w:val="006231A2"/>
    <w:rPr>
      <w:rFonts w:asciiTheme="majorHAnsi" w:eastAsiaTheme="majorEastAsia" w:hAnsiTheme="majorHAnsi" w:cstheme="majorBidi"/>
      <w:b/>
      <w:bCs/>
      <w:color w:val="4F81BD" w:themeColor="accent1"/>
      <w:lang w:val="de-DE"/>
    </w:rPr>
  </w:style>
  <w:style w:type="character" w:customStyle="1" w:styleId="40">
    <w:name w:val="Заголовок 4 Знак"/>
    <w:basedOn w:val="a0"/>
    <w:link w:val="4"/>
    <w:semiHidden/>
    <w:rsid w:val="006231A2"/>
    <w:rPr>
      <w:rFonts w:asciiTheme="majorHAnsi" w:eastAsiaTheme="majorEastAsia" w:hAnsiTheme="majorHAnsi" w:cstheme="majorBidi"/>
      <w:b/>
      <w:bCs/>
      <w:i/>
      <w:iCs/>
      <w:color w:val="4F81BD" w:themeColor="accent1"/>
      <w:lang w:val="de-DE"/>
    </w:rPr>
  </w:style>
  <w:style w:type="paragraph" w:styleId="af1">
    <w:name w:val="caption"/>
    <w:basedOn w:val="a"/>
    <w:next w:val="a"/>
    <w:uiPriority w:val="35"/>
    <w:unhideWhenUsed/>
    <w:locked/>
    <w:rsid w:val="006231A2"/>
    <w:pPr>
      <w:autoSpaceDE/>
      <w:autoSpaceDN/>
      <w:spacing w:after="200" w:line="276" w:lineRule="auto"/>
      <w:ind w:firstLine="284"/>
      <w:jc w:val="both"/>
    </w:pPr>
    <w:rPr>
      <w:b/>
      <w:bCs/>
      <w:lang w:val="en-GB"/>
    </w:rPr>
  </w:style>
  <w:style w:type="paragraph" w:styleId="af2">
    <w:name w:val="Title"/>
    <w:basedOn w:val="1"/>
    <w:next w:val="a"/>
    <w:link w:val="af3"/>
    <w:uiPriority w:val="10"/>
    <w:locked/>
    <w:rsid w:val="006231A2"/>
    <w:pPr>
      <w:keepNext w:val="0"/>
      <w:spacing w:line="276" w:lineRule="auto"/>
      <w:ind w:firstLine="284"/>
      <w:contextualSpacing/>
      <w:jc w:val="center"/>
    </w:pPr>
    <w:rPr>
      <w:rFonts w:ascii="Cambria" w:hAnsi="Cambria"/>
      <w:sz w:val="28"/>
      <w:szCs w:val="28"/>
      <w:u w:val="none"/>
      <w:lang w:val="en-GB"/>
    </w:rPr>
  </w:style>
  <w:style w:type="character" w:customStyle="1" w:styleId="af3">
    <w:name w:val="Заголовок Знак"/>
    <w:basedOn w:val="a0"/>
    <w:link w:val="af2"/>
    <w:uiPriority w:val="10"/>
    <w:rsid w:val="006231A2"/>
    <w:rPr>
      <w:rFonts w:ascii="Cambria" w:hAnsi="Cambria"/>
      <w:b/>
      <w:bCs/>
      <w:sz w:val="28"/>
      <w:szCs w:val="28"/>
      <w:lang w:val="en-GB"/>
    </w:rPr>
  </w:style>
  <w:style w:type="paragraph" w:styleId="af4">
    <w:name w:val="Normal (Web)"/>
    <w:basedOn w:val="a"/>
    <w:uiPriority w:val="99"/>
    <w:unhideWhenUsed/>
    <w:rsid w:val="00BB11EA"/>
    <w:pPr>
      <w:autoSpaceDE/>
      <w:autoSpaceDN/>
      <w:spacing w:before="100" w:beforeAutospacing="1" w:after="100" w:afterAutospacing="1" w:line="244" w:lineRule="auto"/>
    </w:pPr>
    <w:rPr>
      <w:rFonts w:eastAsiaTheme="minorEastAsia"/>
      <w:sz w:val="24"/>
      <w:szCs w:val="24"/>
      <w:lang w:val="en-AU" w:eastAsia="en-AU"/>
    </w:rPr>
  </w:style>
  <w:style w:type="paragraph" w:customStyle="1" w:styleId="Text">
    <w:name w:val="Text"/>
    <w:basedOn w:val="a"/>
    <w:uiPriority w:val="99"/>
    <w:rsid w:val="00BB11EA"/>
    <w:pPr>
      <w:widowControl w:val="0"/>
      <w:overflowPunct w:val="0"/>
      <w:adjustRightInd w:val="0"/>
      <w:spacing w:after="120" w:line="244" w:lineRule="auto"/>
      <w:jc w:val="both"/>
    </w:pPr>
    <w:rPr>
      <w:lang w:val="en-US" w:eastAsia="de-DE"/>
    </w:rPr>
  </w:style>
  <w:style w:type="character" w:customStyle="1" w:styleId="apple-converted-space">
    <w:name w:val="apple-converted-space"/>
    <w:basedOn w:val="a0"/>
    <w:rsid w:val="005E794F"/>
  </w:style>
  <w:style w:type="character" w:customStyle="1" w:styleId="5">
    <w:name w:val="Основной текст (5)_"/>
    <w:basedOn w:val="a0"/>
    <w:link w:val="50"/>
    <w:rsid w:val="005E794F"/>
    <w:rPr>
      <w:rFonts w:ascii="Century Schoolbook" w:eastAsia="Century Schoolbook" w:hAnsi="Century Schoolbook" w:cs="Century Schoolbook"/>
      <w:i/>
      <w:iCs/>
      <w:shd w:val="clear" w:color="auto" w:fill="FFFFFF"/>
      <w:lang w:bidi="en-US"/>
    </w:rPr>
  </w:style>
  <w:style w:type="character" w:customStyle="1" w:styleId="2">
    <w:name w:val="Основной текст (2)_"/>
    <w:basedOn w:val="a0"/>
    <w:link w:val="20"/>
    <w:rsid w:val="005E794F"/>
    <w:rPr>
      <w:rFonts w:ascii="Century Schoolbook" w:eastAsia="Century Schoolbook" w:hAnsi="Century Schoolbook" w:cs="Century Schoolbook"/>
      <w:shd w:val="clear" w:color="auto" w:fill="FFFFFF"/>
    </w:rPr>
  </w:style>
  <w:style w:type="paragraph" w:customStyle="1" w:styleId="50">
    <w:name w:val="Основной текст (5)"/>
    <w:basedOn w:val="a"/>
    <w:link w:val="5"/>
    <w:rsid w:val="005E794F"/>
    <w:pPr>
      <w:widowControl w:val="0"/>
      <w:shd w:val="clear" w:color="auto" w:fill="FFFFFF"/>
      <w:autoSpaceDE/>
      <w:autoSpaceDN/>
      <w:spacing w:line="0" w:lineRule="atLeast"/>
    </w:pPr>
    <w:rPr>
      <w:rFonts w:ascii="Century Schoolbook" w:eastAsia="Century Schoolbook" w:hAnsi="Century Schoolbook" w:cs="Century Schoolbook"/>
      <w:i/>
      <w:iCs/>
      <w:lang w:val="en-US" w:bidi="en-US"/>
    </w:rPr>
  </w:style>
  <w:style w:type="paragraph" w:customStyle="1" w:styleId="20">
    <w:name w:val="Основной текст (2)"/>
    <w:basedOn w:val="a"/>
    <w:link w:val="2"/>
    <w:rsid w:val="005E794F"/>
    <w:pPr>
      <w:widowControl w:val="0"/>
      <w:shd w:val="clear" w:color="auto" w:fill="FFFFFF"/>
      <w:autoSpaceDE/>
      <w:autoSpaceDN/>
      <w:spacing w:line="288" w:lineRule="exact"/>
      <w:ind w:firstLine="380"/>
      <w:jc w:val="both"/>
    </w:pPr>
    <w:rPr>
      <w:rFonts w:ascii="Century Schoolbook" w:eastAsia="Century Schoolbook" w:hAnsi="Century Schoolbook" w:cs="Century Schoolbook"/>
      <w:lang w:val="en-US"/>
    </w:rPr>
  </w:style>
  <w:style w:type="character" w:customStyle="1" w:styleId="31">
    <w:name w:val="Подпись к картинке (3)_"/>
    <w:basedOn w:val="a0"/>
    <w:link w:val="32"/>
    <w:rsid w:val="005E794F"/>
    <w:rPr>
      <w:rFonts w:ascii="Century Schoolbook" w:eastAsia="Century Schoolbook" w:hAnsi="Century Schoolbook" w:cs="Century Schoolbook"/>
      <w:i/>
      <w:iCs/>
      <w:shd w:val="clear" w:color="auto" w:fill="FFFFFF"/>
    </w:rPr>
  </w:style>
  <w:style w:type="paragraph" w:customStyle="1" w:styleId="32">
    <w:name w:val="Подпись к картинке (3)"/>
    <w:basedOn w:val="a"/>
    <w:link w:val="31"/>
    <w:rsid w:val="005E794F"/>
    <w:pPr>
      <w:widowControl w:val="0"/>
      <w:shd w:val="clear" w:color="auto" w:fill="FFFFFF"/>
      <w:autoSpaceDE/>
      <w:autoSpaceDN/>
      <w:spacing w:line="264" w:lineRule="exact"/>
      <w:jc w:val="center"/>
    </w:pPr>
    <w:rPr>
      <w:rFonts w:ascii="Century Schoolbook" w:eastAsia="Century Schoolbook" w:hAnsi="Century Schoolbook" w:cs="Century Schoolbook"/>
      <w:i/>
      <w:iCs/>
      <w:lang w:val="en-US"/>
    </w:rPr>
  </w:style>
  <w:style w:type="character" w:customStyle="1" w:styleId="21">
    <w:name w:val="Сноска (2)_"/>
    <w:basedOn w:val="a0"/>
    <w:link w:val="22"/>
    <w:rsid w:val="005E794F"/>
    <w:rPr>
      <w:rFonts w:ascii="Century Schoolbook" w:eastAsia="Century Schoolbook" w:hAnsi="Century Schoolbook" w:cs="Century Schoolbook"/>
      <w:b/>
      <w:bCs/>
      <w:i/>
      <w:iCs/>
      <w:shd w:val="clear" w:color="auto" w:fill="FFFFFF"/>
    </w:rPr>
  </w:style>
  <w:style w:type="paragraph" w:customStyle="1" w:styleId="22">
    <w:name w:val="Сноска (2)"/>
    <w:basedOn w:val="a"/>
    <w:link w:val="21"/>
    <w:rsid w:val="005E794F"/>
    <w:pPr>
      <w:widowControl w:val="0"/>
      <w:shd w:val="clear" w:color="auto" w:fill="FFFFFF"/>
      <w:autoSpaceDE/>
      <w:autoSpaceDN/>
      <w:spacing w:line="288" w:lineRule="exact"/>
      <w:ind w:firstLine="380"/>
    </w:pPr>
    <w:rPr>
      <w:rFonts w:ascii="Century Schoolbook" w:eastAsia="Century Schoolbook" w:hAnsi="Century Schoolbook" w:cs="Century Schoolbook"/>
      <w:b/>
      <w:bCs/>
      <w:i/>
      <w:iCs/>
      <w:lang w:val="en-US"/>
    </w:rPr>
  </w:style>
  <w:style w:type="character" w:customStyle="1" w:styleId="10pt">
    <w:name w:val="Колонтитул + 10 pt;Курсив"/>
    <w:basedOn w:val="a0"/>
    <w:rsid w:val="005E794F"/>
    <w:rPr>
      <w:rFonts w:ascii="Century Schoolbook" w:eastAsia="Century Schoolbook" w:hAnsi="Century Schoolbook" w:cs="Century Schoolbook"/>
      <w:b/>
      <w:bCs/>
      <w:i/>
      <w:iCs/>
      <w:smallCaps w:val="0"/>
      <w:strike w:val="0"/>
      <w:color w:val="000000"/>
      <w:spacing w:val="0"/>
      <w:w w:val="100"/>
      <w:position w:val="0"/>
      <w:sz w:val="20"/>
      <w:szCs w:val="20"/>
      <w:u w:val="none"/>
      <w:lang w:val="ru-RU" w:eastAsia="ru-RU" w:bidi="ru-RU"/>
    </w:rPr>
  </w:style>
  <w:style w:type="character" w:customStyle="1" w:styleId="13">
    <w:name w:val="Заголовок №1 (3)_"/>
    <w:basedOn w:val="a0"/>
    <w:link w:val="130"/>
    <w:rsid w:val="005E794F"/>
    <w:rPr>
      <w:rFonts w:ascii="Century Schoolbook" w:eastAsia="Century Schoolbook" w:hAnsi="Century Schoolbook" w:cs="Century Schoolbook"/>
      <w:b/>
      <w:bCs/>
      <w:shd w:val="clear" w:color="auto" w:fill="FFFFFF"/>
    </w:rPr>
  </w:style>
  <w:style w:type="paragraph" w:customStyle="1" w:styleId="130">
    <w:name w:val="Заголовок №1 (3)"/>
    <w:basedOn w:val="a"/>
    <w:link w:val="13"/>
    <w:rsid w:val="005E794F"/>
    <w:pPr>
      <w:widowControl w:val="0"/>
      <w:shd w:val="clear" w:color="auto" w:fill="FFFFFF"/>
      <w:autoSpaceDE/>
      <w:autoSpaceDN/>
      <w:spacing w:after="240" w:line="0" w:lineRule="atLeast"/>
      <w:jc w:val="center"/>
      <w:outlineLvl w:val="0"/>
    </w:pPr>
    <w:rPr>
      <w:rFonts w:ascii="Century Schoolbook" w:eastAsia="Century Schoolbook" w:hAnsi="Century Schoolbook" w:cs="Century Schoolbook"/>
      <w:b/>
      <w:bCs/>
      <w:lang w:val="en-US"/>
    </w:rPr>
  </w:style>
  <w:style w:type="table" w:styleId="af5">
    <w:name w:val="Table Grid"/>
    <w:basedOn w:val="a1"/>
    <w:uiPriority w:val="39"/>
    <w:locked/>
    <w:rsid w:val="005E794F"/>
    <w:rPr>
      <w:rFonts w:asciiTheme="minorHAnsi" w:eastAsiaTheme="minorHAnsi" w:hAnsiTheme="minorHAnsi" w:cstheme="minorBidi"/>
      <w:sz w:val="22"/>
      <w:szCs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Strong"/>
    <w:uiPriority w:val="22"/>
    <w:qFormat/>
    <w:locked/>
    <w:rsid w:val="005E794F"/>
    <w:rPr>
      <w:b/>
      <w:bCs/>
    </w:rPr>
  </w:style>
  <w:style w:type="character" w:customStyle="1" w:styleId="publication-meta-journal">
    <w:name w:val="publication-meta-journal"/>
    <w:rsid w:val="005E79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0141070">
      <w:bodyDiv w:val="1"/>
      <w:marLeft w:val="0"/>
      <w:marRight w:val="0"/>
      <w:marTop w:val="0"/>
      <w:marBottom w:val="0"/>
      <w:divBdr>
        <w:top w:val="none" w:sz="0" w:space="0" w:color="auto"/>
        <w:left w:val="none" w:sz="0" w:space="0" w:color="auto"/>
        <w:bottom w:val="none" w:sz="0" w:space="0" w:color="auto"/>
        <w:right w:val="none" w:sz="0" w:space="0" w:color="auto"/>
      </w:divBdr>
    </w:div>
    <w:div w:id="1188642118">
      <w:bodyDiv w:val="1"/>
      <w:marLeft w:val="0"/>
      <w:marRight w:val="0"/>
      <w:marTop w:val="0"/>
      <w:marBottom w:val="0"/>
      <w:divBdr>
        <w:top w:val="none" w:sz="0" w:space="0" w:color="auto"/>
        <w:left w:val="none" w:sz="0" w:space="0" w:color="auto"/>
        <w:bottom w:val="none" w:sz="0" w:space="0" w:color="auto"/>
        <w:right w:val="none" w:sz="0" w:space="0" w:color="auto"/>
      </w:divBdr>
    </w:div>
    <w:div w:id="1430857687">
      <w:bodyDiv w:val="1"/>
      <w:marLeft w:val="0"/>
      <w:marRight w:val="0"/>
      <w:marTop w:val="0"/>
      <w:marBottom w:val="0"/>
      <w:divBdr>
        <w:top w:val="none" w:sz="0" w:space="0" w:color="auto"/>
        <w:left w:val="none" w:sz="0" w:space="0" w:color="auto"/>
        <w:bottom w:val="none" w:sz="0" w:space="0" w:color="auto"/>
        <w:right w:val="none" w:sz="0" w:space="0" w:color="auto"/>
      </w:divBdr>
    </w:div>
    <w:div w:id="1523520183">
      <w:marLeft w:val="0"/>
      <w:marRight w:val="0"/>
      <w:marTop w:val="0"/>
      <w:marBottom w:val="0"/>
      <w:divBdr>
        <w:top w:val="none" w:sz="0" w:space="0" w:color="auto"/>
        <w:left w:val="none" w:sz="0" w:space="0" w:color="auto"/>
        <w:bottom w:val="none" w:sz="0" w:space="0" w:color="auto"/>
        <w:right w:val="none" w:sz="0" w:space="0" w:color="auto"/>
      </w:divBdr>
    </w:div>
    <w:div w:id="1523520184">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hyperlink" Target="mailto:info@kompozit-mv.ru"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73</TotalTime>
  <Pages>7</Pages>
  <Words>2598</Words>
  <Characters>14812</Characters>
  <Application>Microsoft Office Word</Application>
  <DocSecurity>0</DocSecurity>
  <Lines>123</Lines>
  <Paragraphs>34</Paragraphs>
  <ScaleCrop>false</ScaleCrop>
  <HeadingPairs>
    <vt:vector size="6" baseType="variant">
      <vt:variant>
        <vt:lpstr>Название</vt:lpstr>
      </vt:variant>
      <vt:variant>
        <vt:i4>1</vt:i4>
      </vt:variant>
      <vt:variant>
        <vt:lpstr>Title</vt:lpstr>
      </vt:variant>
      <vt:variant>
        <vt:i4>1</vt:i4>
      </vt:variant>
      <vt:variant>
        <vt:lpstr>Titel</vt:lpstr>
      </vt:variant>
      <vt:variant>
        <vt:i4>1</vt:i4>
      </vt:variant>
    </vt:vector>
  </HeadingPairs>
  <TitlesOfParts>
    <vt:vector size="3" baseType="lpstr">
      <vt:lpstr>Your Paper's Title Starts Here:</vt:lpstr>
      <vt:lpstr>Your Paper's Title Starts Here:</vt:lpstr>
      <vt:lpstr>Your Paper's Title Starts Here:</vt:lpstr>
    </vt:vector>
  </TitlesOfParts>
  <Company>Trans Tech Publications Ltd</Company>
  <LinksUpToDate>false</LinksUpToDate>
  <CharactersWithSpaces>17376</CharactersWithSpaces>
  <SharedDoc>false</SharedDoc>
  <HLinks>
    <vt:vector size="6" baseType="variant">
      <vt:variant>
        <vt:i4>3866685</vt:i4>
      </vt:variant>
      <vt:variant>
        <vt:i4>0</vt:i4>
      </vt:variant>
      <vt:variant>
        <vt:i4>0</vt:i4>
      </vt:variant>
      <vt:variant>
        <vt:i4>5</vt:i4>
      </vt:variant>
      <vt:variant>
        <vt:lpwstr>http://www.scientific.net/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Your Paper's Title Starts Here:</dc:title>
  <dc:creator>Thomas Wohlbier</dc:creator>
  <cp:lastModifiedBy>Пользователь Windows</cp:lastModifiedBy>
  <cp:revision>20</cp:revision>
  <cp:lastPrinted>2010-04-09T12:23:00Z</cp:lastPrinted>
  <dcterms:created xsi:type="dcterms:W3CDTF">2017-12-17T06:25:00Z</dcterms:created>
  <dcterms:modified xsi:type="dcterms:W3CDTF">2017-12-17T07:59:00Z</dcterms:modified>
</cp:coreProperties>
</file>